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PE14.010453 vom 18. August 2016</w:t>
      </w:r>
    </w:p>
    <w:p>
      <w:r>
        <w:t>VD Tribunal cantonal, 2016-08-18, FR</w:t>
      </w:r>
    </w:p>
    <w:p>
      <w:r>
        <w:rPr>
          <w:b/>
        </w:rPr>
        <w:t xml:space="preserve">Quelle: </w:t>
      </w:r>
      <w:r>
        <w:t>https://mcp.opencaselaw.ch/entscheid/vd_gerichte_PE14.010453</w:t>
      </w:r>
    </w:p>
    <w:p>
      <w:r>
        <w:t>FR: VD_GERICHTE PE14.010453 du 18 août 2016</w:t>
      </w:r>
    </w:p>
    <w:p>
      <w:r>
        <w:t>IT: VD_GERICHTE PE14.010453 del 18 agosto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peine n’est pas contestée en tant que telle et vérifiée d’office, elle est adéquate et peut être confirmée par adoption de motifs.</w:t>
      </w:r>
    </w:p>
    <w:p>
      <w:r>
        <w:rPr>
          <w:b/>
        </w:rPr>
        <w:t>E. 6</w:t>
      </w:r>
    </w:p>
    <w:p>
      <w:r>
        <w:t>En définitive, l’appel de S.________ doit être rejeté et le jugement attaqué confirmé.</w:t>
      </w:r>
    </w:p>
    <w:p>
      <w:r>
        <w:t>- 18 - Une indemnité pour la procédure d'appel d'un montant de 1'435 fr. 20, sera allouée au défenseur d'office de l’appelant. Ce montant correspond à la liste d’opérations produite par celui-ci, qui ne prête pas le flanc à la critique. Vu l'issue de la cause, les frais d'appel constitués de l’émolument de jugement, par 1’610 fr. (art. 21 al. 1 et 2 TFIP [Tarif des frais de procédure et indemnités en matière pénale du 28 septembre 2010; RSV 312.03.1]) et de l’indemnité de défense d'office arrêtée à 1'435 fr. 20 (art. 422 al. 1 et 2 let. a CPP), seront mis entièrement à la charge de S.________. L’appelant ne sera tenu de rembourser à l’Etat la part du montant de l’indemnité en faveur de son défenseur d’office mise à sa charge que lorsque sa situation financière le permettra (art. 135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