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PE14.010240 vom 18. August 2014</w:t>
      </w:r>
    </w:p>
    <w:p>
      <w:r>
        <w:t>VD Tribunal cantonal, 2014-08-18, FR</w:t>
      </w:r>
    </w:p>
    <w:p>
      <w:r>
        <w:rPr>
          <w:b/>
        </w:rPr>
        <w:t xml:space="preserve">Quelle: </w:t>
      </w:r>
      <w:r>
        <w:t>https://mcp.opencaselaw.ch/entscheid/vd_gerichte_PE14.010240</w:t>
      </w:r>
    </w:p>
    <w:p>
      <w:r>
        <w:t>FR: VD_GERICHTE PE14.010240 du 18 août 2014</w:t>
      </w:r>
    </w:p>
    <w:p>
      <w:r>
        <w:t>IT: VD_GERICHTE PE14.010240 del 18 agosto 2014</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t>- 3 - Interjeté dans le délai légal auprès de l’autorité compétente par la partie plaignante qui a la qualité pour recourir (cf. art. 382 al. 1 CPP), le recours est recevable.</w:t>
      </w:r>
    </w:p>
    <w:p>
      <w:r>
        <w:rPr>
          <w:b/>
        </w:rPr>
        <w:t>E. 2.1</w:t>
      </w:r>
    </w:p>
    <w:p>
      <w:r>
        <w:t>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w:t>
      </w:r>
    </w:p>
    <w:p>
      <w:r>
        <w:rPr>
          <w:b/>
        </w:rPr>
        <w:t>E. 2.2</w:t>
      </w:r>
    </w:p>
    <w:p>
      <w:r>
        <w:t>En l’espèce, la recourante fait valoir qu’en 2013, les assistants sociaux de Vevey lui aurait reproché d’avoir perçu l’aide sociale simultanément à la perception de revenus issus d’une activité professionnelle, ce qu’elle conteste. Elle leur reproche de lui avoir indûment réclamé la rétrocession de plusieurs milliers de francs. Malgré un recours, la justice l’aurait condamnée abusivement à payer environ 500 francs. La recourante estime ainsi faire l’objet de harcèlement et déclare que « mes harceleurs corrompt mon entourage les encourage à me nuire, contre un meilleur emplois, une épouse riche, des cours de sorcellerie sur des sacrifices humain à l’étranger, pour avoir de l’argent et de la jeunesse (sic) ».</w:t>
      </w:r>
    </w:p>
    <w:p>
      <w:r>
        <w:rPr>
          <w:b/>
        </w:rPr>
        <w:t>E. 2.3</w:t>
      </w:r>
    </w:p>
    <w:p>
      <w:r>
        <w:t>Au regard de ce qui précède, force est de constater que la recourante n’expose pas en quoi l’appréciation du Ministère public serait erronée. En particulier, elle n’apporte aucune démonstration quant à la</w:t>
      </w:r>
    </w:p>
    <w:p>
      <w:r>
        <w:t>- 4 - commission d’une séquestration, d’un harcèlement ou d’un abus de détresse de la part de X.________ ou des autres assistants sociaux qu’elle accuse sans les nommer. En définitive, on retiendra qu’il n’y aucun indice de culpabilité de la personne mise en cause et que le litige de fond est de nature purement administrative.</w:t>
      </w:r>
    </w:p>
    <w:p>
      <w:r>
        <w:rPr>
          <w:b/>
        </w:rPr>
        <w:t>E. 2.4</w:t>
      </w:r>
    </w:p>
    <w:p>
      <w:r>
        <w:t>Les conditions posées par l’art. 310 al. 1 let. a CPP étant ainsi réunies, c’est à juste titre que le Ministère public a refusé d’entrer en matière sur la plainte de D.________.</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de la recourante, qui succombe (art. 428 al. 1 CPP). Ces frais seront compensés avec le montant de 440 fr. déjà versé par celle-ci à titre de sûretés (art. 7 TFIP). Par ces motifs, la Chambre des recours pénale prononce : I. Le recours est rejeté. II. L’ordonnance du 10 juin 2014 est confirmée. III. Les frais d’arrêt, par 440 fr. (quatre cent quarante francs), sont mis à la charge de D.________. IV. Les frais mis à la charge de D.________ au chiffre III ci-dessus sont compensés avec le montant de 440 fr. (quatre cent quarante francs) déjà versé par celle-ci à titre de sûretés.</w:t>
      </w:r>
    </w:p>
    <w:p>
      <w:r>
        <w:t>- 5 - V. Le présent arrêt est exécutoire. Le président : Le greffier : Du L'arrêt qui précède, dont la rédaction a été approuvée à huis clos, est notifié, par l'envoi d'une copie complète, à : - Mme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