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PE14.010069 vom 18. Mai 2016</w:t>
      </w:r>
    </w:p>
    <w:p>
      <w:r>
        <w:t>VD Tribunal cantonal, 2016-05-18, FR</w:t>
      </w:r>
    </w:p>
    <w:p>
      <w:r>
        <w:rPr>
          <w:b/>
        </w:rPr>
        <w:t xml:space="preserve">Quelle: </w:t>
      </w:r>
      <w:r>
        <w:t>https://mcp.opencaselaw.ch/entscheid/vd_gerichte_PE14.010069</w:t>
      </w:r>
    </w:p>
    <w:p>
      <w:r>
        <w:t>FR: VD_GERICHTE PE14.010069 du 18 mai 2016</w:t>
      </w:r>
    </w:p>
    <w:p>
      <w:r>
        <w:t>IT: VD_GERICHTE PE14.010069 del 18 maggio 2016</w:t>
      </w:r>
    </w:p>
    <w:p>
      <w:pPr>
        <w:pStyle w:val="Heading2"/>
      </w:pPr>
      <w:r>
        <w:t>Erwägungen</w:t>
      </w:r>
    </w:p>
    <w:p>
      <w:r>
        <w:rPr>
          <w:b/>
        </w:rPr>
        <w:t>E. 1.1</w:t>
      </w:r>
    </w:p>
    <w:p>
      <w:r>
        <w:t>Selon l’art. 399 CPP (Code de procédure pénale suisse du 5 octobre 2007; RS 312.0), l’appel doit être annoncé dans les dix jours qui suivent la communication du jugement, soit la remise ou la notification du dispositif écrit (al. 1). La déclaration d’appel doit être déposée dans les vingt jours à compter de la notification du jugement motivé (al. 3).</w:t>
      </w:r>
    </w:p>
    <w:p>
      <w:r>
        <w:rPr>
          <w:b/>
        </w:rPr>
        <w:t>E. 1.2</w:t>
      </w:r>
    </w:p>
    <w:p>
      <w:r>
        <w:t>Interjeté dans les forme et délai légaux par une partie ayant qualité pour recourir contre le jugement du tribunal de première instance qui a clos la procédure (art. 398 al. 1 CPP), l'appel de A.________ est recevable. Il y a donc lieu d’entrer en matière sur le fond.</w:t>
      </w:r>
    </w:p>
    <w:p>
      <w:r>
        <w:t>- 4 -</w:t>
      </w:r>
    </w:p>
    <w:p>
      <w:r>
        <w:rPr>
          <w:b/>
        </w:rPr>
        <w:t>E. 1.3</w:t>
      </w:r>
    </w:p>
    <w:p>
      <w:r>
        <w:t>Dès lors qu'il ne porte que sur les frais, l'appel sera traité en procédure écrite, conformément à l'art. 406 al. 1 let. d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3.1</w:t>
      </w:r>
    </w:p>
    <w:p>
      <w:r>
        <w:t>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rPr>
          <w:b/>
        </w:rPr>
        <w:t>E. 3.2</w:t>
      </w:r>
    </w:p>
    <w:p>
      <w:r>
        <w:t>Selon la jurisprudence du Tribunal fédéral (TF 6B_1034/2015 du 31 mars 2016, consid. 3.1.1), la condamnation d'un prévenu acquitté à supporter tout ou partie des frais au sens de l'art. 426 al. 2 CPP doit respecter la présomption d'innocence, consacrée par les art. 32 al. 1 Cst. (Constitution fédérale de la Confédération suisse du 18 avril 1999, RS 101) et 6 § 2 CEDH (Convention de sauvegarde des droits de l’homme et des libertés fondamentales du 4 novembre 1950,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w:t>
      </w:r>
    </w:p>
    <w:p>
      <w:r>
        <w:t>- 5 - principes découlant de l'art. 41 CO (Code des obligations du 30 mars 1911 ; RS 220). Le fait reproché doit constituer une violation claire de la norme de comportement (ATF 119 la 332 consid. 1b p. 334 et les références citées). Il doit en outre se trouver dans une relation de causalité adéquate avec l'ouverture de l'enquête ou les obstacles mis à celle-ci (ATF 116 la 162 consid. 2c p. 170 s. ; TF 6B_203/2015 du 16 mars 2016 consid. 1.1 ; TF 6B_832/2014 du 24 avril 2015 consid. 1.2). La relation de causalité est réalisée lorsque, selon le cours ordinaire des choses et l'expérience de la vie, le comportement de la personne concernée était de nature à provoquer l'ouverture de la procédure pénale et le dommage ou les frais que celle-ci a entraînés (ATF 116 Ia 162 consid. 2c p. 170; TF 6B_203/2015 du 16 mars 2016 consid. 1.1, TF 6B_331/2012 du 22 octobre 2012 consid. 2.5).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la 162 op. cit. consid. 2c p. 171).</w:t>
      </w:r>
    </w:p>
    <w:p>
      <w:r>
        <w:rPr>
          <w:b/>
        </w:rPr>
        <w:t>E. 3.3</w:t>
      </w:r>
    </w:p>
    <w:p>
      <w:r>
        <w:t>En l’espèce, les dommages à la propriété ont été causés à un mur alors que le prévenu et la plaignante tiraient l’un et l’autre sur une table dont ils revendiquaient la propriété. Le premier juge a conclu au bénéfice du doute qu’il ne pouvait pas être retenu que le prévenu avait heurté le mur et l’avait endommagé. Autrement dit, on ne sait pas si les dommages subis par le mur ont été causés lors de la dispute par le prévenu. Dans ces conditions, on ne voit pas quelle norme de comportement aurait été violée par celui-ci. Il résulte dès lors des principes qui viennent d’être exposés que les frais ne peuvent pas être mis à la charge du prévenu de ce chef. Tel est également le cas pour l’infraction – non retenue – de lésions corporelles simples qualifiées. Certes, on peut admettre avec le Ministère public qu’en participant à une épreuve de force physique avec la plaignante au sujet d’une table et en tirant celle-ci en même temps que sa</w:t>
      </w:r>
    </w:p>
    <w:p>
      <w:r>
        <w:t>- 6 - compagne, le prévenu a pris le risque de blesser cette dernière. On pourrait ainsi considérer qu’il a créé un état de choses dangereux pour la plaignante sans prendre de mesures nécessaires à éviter les blessures subies et qu’il a dès lors agi fautivement sous l’angle de l’art. 41 al. 1 CO (cf. TF 4A_594/2009 du 27 juillet 2010 consid. 3.4 ; ATF 123 III 306 consid. 3). Cependant, il y a lieu de relever que la plaignante de son côté s’est exposée à ce risque de blessures, de sorte que si une faute civile doit être retenue, celle-ci est partagée. Il apparaît finalement que le prévenu n’est pas seul responsable de l’ouverture de l’action pénale du chef des lésions corporelles qualifiées et que les frais relatifs à ce chef de prévention ne peuvent pas non plus être entièrement mis à sa charge.</w:t>
      </w:r>
    </w:p>
    <w:p>
      <w:r>
        <w:rPr>
          <w:b/>
        </w:rPr>
        <w:t>E. 3.4</w:t>
      </w:r>
    </w:p>
    <w:p>
      <w:r>
        <w:t>En définitive, les deux chefs de prévention écartés justifiaient de réduire de deux tiers les frais de procédure de première instance mis à la charge du prévenu.</w:t>
      </w:r>
    </w:p>
    <w:p>
      <w:r>
        <w:rPr>
          <w:b/>
        </w:rPr>
        <w:t>E. 4</w:t>
      </w:r>
    </w:p>
    <w:p>
      <w:r>
        <w:t>Il s'ensuit que l'appel de A.________ doit être admis. Vu le sort de l'appel, les frais de la procédure de seconde instance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