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PE14.008870 vom 16. Juli 2014</w:t>
      </w:r>
    </w:p>
    <w:p>
      <w:r>
        <w:t>VD Tribunal cantonal, 2014-07-16, FR</w:t>
      </w:r>
    </w:p>
    <w:p>
      <w:r>
        <w:rPr>
          <w:b/>
        </w:rPr>
        <w:t xml:space="preserve">Quelle: </w:t>
      </w:r>
      <w:r>
        <w:t>https://mcp.opencaselaw.ch/entscheid/vd_gerichte_PE14.008870</w:t>
      </w:r>
    </w:p>
    <w:p>
      <w:r>
        <w:t>FR: VD_GERICHTE PE14.008870 du 16 juillet 2014</w:t>
      </w:r>
    </w:p>
    <w:p>
      <w:r>
        <w:t>IT: VD_GERICHTE PE14.008870 del 16 luglio 2014</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conteste l’existence de soupçons suffisants, ainsi que l’existence d’un risque de fuite et de collusion. Subsidiairement, il soutient – implicitement – que la constitution d’une caution d’un montant de 50'000 fr. serait suffisante à prévenir un éventuel risque de fuite.</w:t>
      </w:r>
    </w:p>
    <w:p>
      <w:r>
        <w:rPr>
          <w:b/>
        </w:rPr>
        <w:t>E. 2.1</w:t>
      </w:r>
    </w:p>
    <w:p>
      <w:r>
        <w:t>Selon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228 CPP, le prévenu peut en principe présenter en tout temps, par écrit ou oralement par mention au procès-verbal, une demande de mise en liberté au ministère public (al. 1); si celui-ci n'entend pas donner une suite favorable à la demande, il la transmet au tribunal des mesures de contrainte au plus tard dans les trois jours à compter de sa réception, en y joignant une prise de position motivée (al. 2, 2e phrase).</w:t>
      </w:r>
    </w:p>
    <w:p>
      <w:r>
        <w:rPr>
          <w:b/>
        </w:rPr>
        <w:t>E. 2.2</w:t>
      </w:r>
    </w:p>
    <w:p>
      <w:r>
        <w:t>; ATF 137 IV 122 c. 3.2).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w:t>
      </w:r>
    </w:p>
    <w:p>
      <w:r>
        <w:rPr>
          <w:b/>
        </w:rPr>
        <w:t>E. 2.2.1</w:t>
      </w:r>
    </w:p>
    <w:p>
      <w:r>
        <w:t>La mise en détention provisoire n’est possible que s’il existe, préalablement à toute autre cause, de graves soupçons de culpabilité d’avoir commis un crime ou un délit à l’égard de l’auteur présumé (ATF</w:t>
      </w:r>
    </w:p>
    <w:p>
      <w:r>
        <w:t>- 5 - 139 IV 186 c. 2 ; Schmocker, in : Kuhn/Jeanneret [éd.], Commentaire romand, Code de procédure pénale suisse, Bâle 2011, nn. 7 ss ad art. 221 CPP, pp. 1024 ss).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w:t>
      </w:r>
    </w:p>
    <w:p>
      <w:r>
        <w:rPr>
          <w:b/>
        </w:rPr>
        <w:t>E. 2.2.2</w:t>
      </w:r>
    </w:p>
    <w:p>
      <w:r>
        <w:t>Le recourant conteste que le modus operandi adopté par les personnes impliquées – dont il est soupçonné de faire partie – puisse être qualifié d’escroquerie, faute d’astuce. Il ajoute que les différentes dépositions du plaignant comporteraient plusieurs confusions non négligeables, notamment relatives aux noms des personnes impliquées et au montant des prêts, ce qui rendrait les propos de Z.________ incohérents. Le recourant considère dès lors que les seuls éléments concrets du dossier à sa charge relèveraient d’un contrôle rétrospectif effectué sur son téléphone mobile d’une part, et d’une « reconnaissance de dettes », d’autre part. S’agissant des soixante appels passés depuis son téléphone mobile au plaignant, il reconnaît avoir appelé celui-ci à deux ou trois reprises seulement et soutient avoir prêté son téléphone mobile à d’autres personnes pour le surplus. Quant à la « reconnaissance de dettes », il fait valoir que le document sur lequel repose l’accusation serait davantage assimilable à un « carnet du lait » du plaignant dès lors que ce document n’est pas signé et a été établi par le seul plaignant.</w:t>
      </w:r>
    </w:p>
    <w:p>
      <w:r>
        <w:t>- 6 -</w:t>
      </w:r>
    </w:p>
    <w:p>
      <w:r>
        <w:rPr>
          <w:b/>
        </w:rPr>
        <w:t>E. 2.2.3</w:t>
      </w:r>
    </w:p>
    <w:p>
      <w:r>
        <w:t>Tout d’abord, il y a lieu de relever que, selon un procédé admissible (cf. TF 1B_149/2010 du 1er juin 2010; ATF 114 Ia 281), le Tribunal des mesures de contrainte était autorisé à se borner à renvoyer aux considérants de l’ordonnance de refus de mise en liberté du 18 juin 2014 (CREP 1er mai 2014/311 c. 2b), qui, moins de deux semaines plus tard, étaient toujours d’actualité. S’agissant de l’absence éventuelle d’astuce et de la crédibilité des déclarations du plaignant, ces moyens soulevés par le recourant s’apparentent à une plaidoirie au fond et il incombera dès lors au juge du fond et non à celui de la détention d'apprécier la valeur probante et la crédibilité des déclarations du plaignant, ainsi que de qualifier les éventuelles infractions. Pour le surplus, en l’état actuel de l’enquête, le fait que le recourant ait prêté son téléphone mobile à d’autres personnes n’est pas établi. Il conviendra dès lors, si ces personnes peuvent être identifiées avec l’aide du recourant, de procéder à leurs auditions pour permettre de déterminer si ces appels, bien qu’émis depuis le téléphone mobile du prévenu, lui sont ou non imputables. S’agissant ensuite de la retenue dont a fait preuve le plaignant en identifiant le recourant sur les planches photographiques, on relèvera que les faits remontent à un peu plus de deux ans. Au surplus, le plaignant, âgé de 88 ans, s’est contenté de dire qu’il n’était « pas sûr à 100% ». Le fait qu’il ait émis cette petite réserve n’empêche pas de retenir qu’il s’agit néanmoins d’un indice de culpabilité du recourant. En définitive, à ce stade de l’enquête, les soixante appels passés au plaignant depuis le téléphone mobile du recourant, le fait que celui-ci ait admis avoir « emprunté » 10'000 fr. au plaignant le 13 juillet 2012 sous une fausse identité, que ce « prêt » ressorte du relevé établi par le plaignant, que le recourant ait expliqué que Z.________ était connu dans la communauté des gens du voyage pour « donner facilement de l’argent » et que le plaignant ait identifié le prévenu sur des planches photographiques permettent de constituer un faisceau d'indices suffisants de la culpabilité du recourant en relation avec sa participation à l’escroquerie dont semble avoir été victime Z.________.</w:t>
      </w:r>
    </w:p>
    <w:p>
      <w:r>
        <w:t>- 7 -</w:t>
      </w:r>
    </w:p>
    <w:p>
      <w:r>
        <w:rPr>
          <w:b/>
        </w:rPr>
        <w:t>E. 2.3</w:t>
      </w:r>
    </w:p>
    <w:p>
      <w:r>
        <w:t>Le Tribunal des mesures de contrainte a ensuite retenu un risque de fuite.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En l’espèce, X.________ est ressortissant français. Il fait partie de la communauté des gens du voyage et il est, de ce fait, amené à se déplacer fréquemment. Il n’a aucune attache avec la Suisse, où il dit n’être arrivé qu’au début du mois d’avril 2014 et où il n’a pas d’adresse. Sa femme et ses trois enfants vivent en France. Dans ces conditions et au vu des charges qui pèsent sur lui, il existe un risque concret qu'il tente de se soustraire aux opérations de l'enquête en prenant la fuite ou en entrant dans la clandestinité.</w:t>
      </w:r>
    </w:p>
    <w:p>
      <w:r>
        <w:rPr>
          <w:b/>
        </w:rPr>
        <w:t>E. 2.4</w:t>
      </w:r>
    </w:p>
    <w:p>
      <w:r>
        <w:t>La détention provisoire étant d'ores et déjà justifiée par le risque de fuite, il n'est pas nécessaire de trancher la question de l'existence du risque de collusion également invoqué dans la décision entreprise. En effet, les conditions fixées à l'art. 221 al. 1 let. a à c CPP sont des conditions alternatives et, partant, la réalisation d'une seule cause suffit (TF 1B_249/2011 du 7 juin 2011 c. 2.4). A cet égard toutefois, on relèvera qu’après moins de deux mois d’enquête dans le cadre de cette vaste affaire d’escroquerie, le risque de collusion pourrait ne pas être écarté à ce stade.</w:t>
      </w:r>
    </w:p>
    <w:p>
      <w:r>
        <w:t>- 8 -</w:t>
      </w:r>
    </w:p>
    <w:p>
      <w:r>
        <w:rPr>
          <w:b/>
        </w:rPr>
        <w:t>E. 2.4.3</w:t>
      </w:r>
    </w:p>
    <w:p>
      <w:r>
        <w:t>et les références citées). En l’absence de renseignements suffisants sur les personnes appelées à servir de caution et sur l’origine des fonds</w:t>
      </w:r>
    </w:p>
    <w:p>
      <w:r>
        <w:t>- 9 - proposés, il n’est pas possible d’apprécier la garantie apportée (TF 1B_576/2012 du 19 octobre 2012 c. 5.3).</w:t>
      </w:r>
    </w:p>
    <w:p>
      <w:r>
        <w:rPr>
          <w:b/>
        </w:rPr>
        <w:t>E. 2.5</w:t>
      </w:r>
    </w:p>
    <w:p>
      <w:r>
        <w:t>La détention provisoire doit encore être conforme au principe de proportionnalité (art. 212 al. 3 CPP). En l’espèce, compte tenu de l’infraction faisant l'objet de l'instruction, les quelque deux mois et demi de détention subis à ce jour par X.________ demeurent proportionnés à la peine concrètement encourue en cas de condamnation.</w:t>
      </w:r>
    </w:p>
    <w:p>
      <w:r>
        <w:rPr>
          <w:b/>
        </w:rPr>
        <w:t>E. 3</w:t>
      </w:r>
    </w:p>
    <w:p>
      <w:r>
        <w:t>juillet 2014 : « La somme de CHF 50'000.-- offerte à titre de mesure de substitution a été récoltée par des proches de mon client auprès de centaines de membres de la communauté des gens du voyage à laquelle ils appartiennent, en France pour l’essentiel, pays dans lequel ils résident pour la plupart. Elle provient du produit du travail de ces donateurs ou prêteurs, actifs dans les domaines de la brocante, du cannage et du commerce de tapis ».</w:t>
      </w:r>
    </w:p>
    <w:p>
      <w:r>
        <w:rPr>
          <w:b/>
        </w:rPr>
        <w:t>E. 3.1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let. a CPP, fait notamment partie des mesures de substitution la fourniture de sûreté.</w:t>
      </w:r>
    </w:p>
    <w:p>
      <w:r>
        <w:rPr>
          <w:b/>
        </w:rPr>
        <w:t>E. 3.2</w:t>
      </w:r>
    </w:p>
    <w:p>
      <w:r>
        <w:t>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 4a; TF 1P.165/2006 du 19 avril 2006 c. 3.2.1, publié in SJ 2006 I p. 395 ; TF 1B_576/2012 du 19 octobre 2012 c. 5.3). Il convient de faire preuve de prudence quant à l'origine des fonds proposés comme sûretés (TF 1B_576/2012 du 19 octobre 2012 c. 5.3), en particulier lorsque l'instruction porte sur des détournements de fonds (cf. TF 1P.570/2003 du 20 octobre 2003). Enfin, si la caution doit être fournie par un tiers, il y a lieu de prendre en considération les relations personnelles et financières du prévenu avec cette personne (TF 1P.690/2004 du 14 décembre 2004 c.</w:t>
      </w:r>
    </w:p>
    <w:p>
      <w:r>
        <w:rPr>
          <w:b/>
        </w:rPr>
        <w:t>E. 3.3</w:t>
      </w:r>
    </w:p>
    <w:p>
      <w:r>
        <w:t>Au lieu de la détention, le recourant demande à être tenu au versement de sûretés d’un montant de 50'000 fr. – montant évoqué par le Tribunal des mesures de contrainte dans son ordonnance du 18 juin 2014 –, exposant être parvenu à rassembler cette somme « avec l’aide des siens » (P. 25). Invité par courrier du Tribunal des mesures de contrainte du 2 juillet 2014 à faire parvenir en mains du tribunal les pièces permettant d’établir la provenance des fonds destinés à la fourniture de sûretés, le recourant a exposé ce qui suit par courrier de son défenseur du</w:t>
      </w:r>
    </w:p>
    <w:p>
      <w:r>
        <w:rPr>
          <w:b/>
        </w:rPr>
        <w:t>E. 3.4</w:t>
      </w:r>
    </w:p>
    <w:p>
      <w:r>
        <w:t>S’agissant d’une enquête ouverte pour escroquerie pour un montant d’au moins 157'000 fr. au préjudice du seul plaignant Z.________, il y a lieu de faire preuve d’une prudence particulière quant à l'origine des fonds proposés comme sûretés. En l’espèce, la provenance des fonds n’est pas détaillée par le recourant. On ignore en effet tout des relations personnelles et financières qui lient celui-ci avec les « centaines de personnes » appelées à servir de caution, si ce n’est qu’ils feraient tous partie de la même communauté des gens du voyage. En l'absence de tout renseignement sur les personnes appelées à servir de caution et sur l'origine des fonds proposés, il n'est pas possible d'apprécier la garantie offerte. La mesure de substitution proposée ne permet donc pas, en l'état, d'admettre que la perspective de perdre cette somme d'argent agira comme un frein suffisamment puissant pour écarter toute velléité de fuite. Il appartiendra toutefois au Procureur de poursuivre l’instruction sur la</w:t>
      </w:r>
    </w:p>
    <w:p>
      <w:r>
        <w:t>- 10 - provenance des fonds et s’il obtient confirmation que ces fonds ont été récoltés par la communauté, envisager une libération moyennant le dépôt de ces sûretés, une fois tout risque de collusion écarté. Au demeurant, on ne voit pas quelle autre mesure de substitution pourrait atteindre le même but que la détention.</w:t>
      </w:r>
    </w:p>
    <w:p>
      <w:r>
        <w:rPr>
          <w:b/>
        </w:rPr>
        <w:t>E. 4</w:t>
      </w:r>
    </w:p>
    <w:p>
      <w:r>
        <w:t>En définitive, le recours doit être rejeté sans autre échange d’écritures (art. 390 al. 2 CPP) et l'ordonnance du 4 juillet 2014 confirmée. Les frais de la procédure de recours, par 990 fr. (art. 20 al. 1 TFIP [Tarif des frais de procédure et indemnités en matière pénale du 28 septembre 2010; RSV 312.03.]), seront mis à la charge du recourant, qui succombe (art. 428 al. 1 CPP). Par ces motifs, la Chambre des recours pénale, statuant à huis clos, prononce : I. Le recours est rejeté. II. L’ordonnance du 4 juillet 2014 est confirmée. III. Les frais d’arrêt, par 990 fr. (neuf cent nonante francs) sont mis à la charge de X.________. IV. Le présent arrêt est exécutoire. Le président : La greffière :</w:t>
      </w:r>
    </w:p>
    <w:p>
      <w:r>
        <w:t>- 11 - Du L'arrêt qui précède, dont la rédaction a été approuvée à huis clos, est notifié, par l'envoi d'une copie complète, à : - Pierre-Olivier Wellauer, avocat (pour X.________),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