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PE14.008648 vom 10. April 2014</w:t>
      </w:r>
    </w:p>
    <w:p>
      <w:r>
        <w:t>VD Tribunal cantonal, 2014-04-10, FR</w:t>
      </w:r>
    </w:p>
    <w:p>
      <w:r>
        <w:rPr>
          <w:b/>
        </w:rPr>
        <w:t xml:space="preserve">Quelle: </w:t>
      </w:r>
      <w:r>
        <w:t>https://mcp.opencaselaw.ch/entscheid/vd_gerichte_PE14.008648</w:t>
      </w:r>
    </w:p>
    <w:p>
      <w:r>
        <w:t>FR: VD_GERICHTE PE14.008648 du 10 avril 2014</w:t>
      </w:r>
    </w:p>
    <w:p>
      <w:r>
        <w:t>IT: VD_GERICHTE PE14.008648 del 10 aprile 2014</w:t>
      </w:r>
    </w:p>
    <w:p>
      <w:pPr>
        <w:pStyle w:val="Heading2"/>
      </w:pPr>
      <w:r>
        <w:t>Erwägungen</w:t>
      </w:r>
    </w:p>
    <w:p>
      <w:r>
        <w:rPr>
          <w:b/>
        </w:rPr>
        <w:t>E. 1</w:t>
      </w:r>
    </w:p>
    <w:p>
      <w:r>
        <w:t>a) 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 3 al. 2 LVCPP [Loi d’introduction du Code de</w:t>
      </w:r>
    </w:p>
    <w:p>
      <w:r>
        <w:t>- 3 -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 En l’espèce, déposé en temps utile devant l’autorité compétente par le prévenu qui a qualité pour recourir contre une ordonnance de classement rendue par l’autorité pénale compétente en matière de contraventions, dans la mesure où aucune indemnité au sens de l’art. 429 CPP ne lui a été allouée, et satisfaisant aux conditions de forme posées par l’art. 385 al. 1 CPP, le recours est recevable. b)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CREP 28 mars 2014/239).</w:t>
      </w:r>
    </w:p>
    <w:p>
      <w:r>
        <w:rPr>
          <w:b/>
        </w:rPr>
        <w:t>E. 2</w:t>
      </w:r>
    </w:p>
    <w:p>
      <w:r>
        <w:t>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b) L'indemnité selon l'art. 429 al. 1 let. a CPP concerne les dépenses du prévenu pour un avocat de choix (ATF 139 IV 241 c. 1; ATF 138 IV 205 c. 1 p. 206). Dans un arrêt de principe, le Tribunal fédéral a exposé que cette indemnisation ne se limitait pas au cas où l’intéressé avait été prévenu à tort d’avoir commis un crime ou un délit (ATF 138 IV</w:t>
      </w:r>
    </w:p>
    <w:p>
      <w:r>
        <w:t>- 4 - 197,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Schweizerische Strafprozessordnung, Jugendstrafprozessordnung, Bâle 2011, n. 15 ad art. 429 CPP; Mizel/Rétornaz, in : Kuhn/Jeanneret [éd.], Commentaire romand, Code de procédure pénale suisse, Bâle 2011, n. 31 ad art. 429 CPP; Juge unique CREP 28 mars 2014/239; CAPE 14 mars 2012/88 c. 2.2; ATF 115 IV 156 c. 2d). c) Le dommage économique au sens de l'art. 429 al. 1 let. b CPP concerne tous les préjudices économiques, c'est-à-dire toute diminution involontaire du patrimoine d'une personne (Wehrenberger/Bernhard, op. cit., nn. 23 s. ad art. 429 CPP et les réf. cit.; Mizel/Rétornaz, op. cit., nn. 41 ss ad art. 429 CPP et les réf. cit.). L'évaluation du dommage économique se fait au moyen des règles suivies d'ordinaire en matière de responsabilité civile. La preuve du</w:t>
      </w:r>
    </w:p>
    <w:p>
      <w:r>
        <w:t>- 5 - lien de causalité entre la procédure pénale et le dommage économique ne doit pas être soumise à des exigences trop élevées. Elle se limitera donc à la haute vraisemblance (Mizel/ Rétornaz, op. cit., n. 41 ad art. 429 CPP et la réf. cit.; Wehrenberger/ Bernhard, op. cit., nn. 24 s. ad art. 429 CPP et les réf. cit.; CREP 27 novembre 2013/731). Il appartient au prévenu de démontrer le lien de causalité naturelle et adéquate entre le dommage économique et la procédure pénale, les exigences ne devant toutefois pas être trop élevées en la matière – la haute vraisemblance étant suffisante (Moreillon/Parein-Reymond, Petit commentaire CPP, Bâle 2013, n. 17 ad art. 429 CPP et la réf. cit.).</w:t>
      </w:r>
    </w:p>
    <w:p>
      <w:r>
        <w:t>- 6 -</w:t>
      </w:r>
    </w:p>
    <w:p>
      <w:r>
        <w:rPr>
          <w:b/>
        </w:rPr>
        <w:t>E. 3</w:t>
      </w:r>
    </w:p>
    <w:p>
      <w:r>
        <w:t>a) Dans le cas particulier, N.________ soutient avoir consulté un homme de loi, sans que cela soit établi. Quoi qu’il en soit, la cause est simple, en fait et en droit, et ne présente pas de difficultés particulières que N.________, prévenu dans une procédure d’amende pour contravention pour stationnement sur une place privée sur dénonciation du propriétaire des lieux V.________ SA SA, ne pouvait pas surmonter seul. L’assistance d’un homme de loi, à supposer qu’elle soit établie, n’était pas nécessaire pour rédiger l’opposition à l’ordonnance pénale du 10 mars 2014, d’autant plus que cette opposition, consistant en une simple déclaration écrite et signée, comme cela était clairement indiqué sur l’ordonnance pénale en question (P. 8), n’avait pas besoin d’être motivée. De surcroît, la procédure a été courte et n’était guère susceptible d’avoir d’impact sur la vie personnelle et professionnelle du prévenu. Tout un chacun aurait ainsi été en mesure de se défendre seul dans une telle procédure, ce que démontre le fait que l’intéressé, dès connaissance de la dénonciation, s’est immédiatement rendu à la police, qui l’a d’ailleurs conseillé sur la marche à suivre. Dans ces conditions, le recours à un avocat ne procédait pas d'un exercice raisonnable de ses droits de procédure par la partie. Pour ce qui est du préjudice économique allégué, la procédure s’est limitée à impliquer quelques correspondances, en sus probablement d’appels téléphoniques. Le recourant n’allègue aucune perte de gain et il n’apparaît pas qu’il en ait subi une. Il ne rend au surplus vraisemblable aucune dépense un tant soit peu significative qui serait en rapport de causalité avec la procédure. Les modiques frais encourus ne relèvent dès lors pas du dommage économique au sens de l’art. 429 al. 1 let. b CPP.</w:t>
      </w:r>
    </w:p>
    <w:p>
      <w:r>
        <w:rPr>
          <w:b/>
        </w:rPr>
        <w:t>E. 4</w:t>
      </w:r>
    </w:p>
    <w:p>
      <w:r>
        <w:t>Il résulte de ce qui précède que le recours, manifestement mal fondé, doit être rejeté sans autres échanges d’écritures (art. 390 al. 2 CPP) et l’ordonnance attaquée confirmée. Les frais de la procédure de recours, constitués du seul émolument d’arrêt (art. 422 al. 1 CPP), par 540 fr. (art. 20 al. 1 TFIP [tarif des frais de procédure et indemnités en matière pénale du 28 septembre</w:t>
      </w:r>
    </w:p>
    <w:p>
      <w:r>
        <w:t>- 7 - 2010; RSV 312.03.1]), seront exceptionnellement laissés à la charge de l’Etat. Par ces motifs, la Chambre des recours pénale, statuant à huis clos, prononce : I. Le recours est rejeté. II. L’ordonnance du 10 avril 2014 est confirmée. III. Les frais de la procédure de recours, par 540 fr. (cinq cent quarante francs), sont laissés à la charge de l’Etat. IV. Le présent arrêt est exécutoire. Le président : Le greffier : Du L'arrêt qui précède, dont la rédaction a été approuvée à huis clos, est notifié, par l'envoi d'une copie complète, à : - M. N.________, - Ministère public central, et communiqué à : - Commission de police de l'Association de communes "Sécurité dans l'Ouest lausannois",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