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PE14.008484 vom 28. Mai 2014</w:t>
      </w:r>
    </w:p>
    <w:p>
      <w:r>
        <w:t>VD Tribunal cantonal, 2014-05-28, FR</w:t>
      </w:r>
    </w:p>
    <w:p>
      <w:r>
        <w:rPr>
          <w:b/>
        </w:rPr>
        <w:t xml:space="preserve">Quelle: </w:t>
      </w:r>
      <w:r>
        <w:t>https://mcp.opencaselaw.ch/entscheid/vd_gerichte_PE14.008484</w:t>
      </w:r>
    </w:p>
    <w:p>
      <w:r>
        <w:t>FR: VD_GERICHTE PE14.008484 du 28 mai 2014</w:t>
      </w:r>
    </w:p>
    <w:p>
      <w:r>
        <w:t>IT: VD_GERICHTE PE14.008484 del 28 maggio 2014</w:t>
      </w:r>
    </w:p>
    <w:p>
      <w:pPr>
        <w:pStyle w:val="Heading2"/>
      </w:pPr>
      <w:r>
        <w:t>Volltext</w:t>
      </w:r>
    </w:p>
    <w:p>
      <w:r>
        <w:t>TRIBUNAL CANTONAL 371 PE14.008484-LML/ACP CHAMBRE DE S RECO URS PEN ALE __________________________________________ Arrêt du 28 mai 2014 __________________ Composition : M. Perrot, juge unique Greffière : Mme Mirus ***** Art. 85, 354 al. 1 let. a et 395 let. a CPP Statuant sur le recours interjeté le 21 mai 2014 par E.________ contre le prononcé rendu le 9 mai 2014 par le Tribunal de police de l’arrondissement de l’Est vaudois dans la cause n° PE14.008484- LML/ACP, le juge unique de la Chambre des recours pénale considère : En fait : A. a) Par ordonnance pénale du 19 mars 2014, la Commission de police de l’Association Sécurité Riviera a condamné E.________ à une amende de 60 fr. (I), a dit qu’à défaut d’exécution, la peine privative de liberté de substitution serait d’un jour (II) et a mis les frais de cette ordonnance à la charge d’E.________ (III). 352</w:t>
      </w:r>
    </w:p>
    <w:p>
      <w:r>
        <w:t>- 2 - Elle a retenu que le 2 octobre 2013, vers 11h25, au Chemin Vert à Vevey, le prénommé avait commis une contravention à l’ordonnance sur la signalisation routière (OSR; RS 741.21), en modifiant l’heure d’arrivée sur le disque de stationnement sans engager son véhicule dans la circulation. Le pli recommandé contenant l’ordonnance pénale, adressé à E.________ le même jour, est revenu en retour avec la mention "non réclamé", l’intéressé ne s’étant pas présenté au guichet afin de le retirer dans le délai de garde postal. b) Le 10 avril 2014, E.________ a formé opposition contre cette ordonnance pénale. Le préfet ayant décidé de maintenir son ordonnance, le Procureur du Ministère public central, division des affaires spéciales, contrôle et mineurs, a transmis le dossier au Tribunal de police de l’arrondissement de l’Est vaudois comme objet de sa compétence, conformément à l’art. 356 al. 1 CPP (Code de procédure pénale suisse du 5 octobre 2007; RS 312.0). B. Par prononcé du 9 mai 2014, considérant l’opposition interjetée par E.________ le 10 avril 2014 comme tardive, le Tribunal de police de l’arrondissement de l’Est vaudois a déclaré celle-ci irrecevable (I), a dit que l’ordonnance pénale du 19 mars 2014 était exécutoire (II) et a dit que ce prononcé était rendu sans frais (III). C. Par acte du 21 mai 2014, E.________ a recouru contre ce prononcé. Il a expliqué qu’ensuite d’un accident, il ne lui avait pas été possible de se déplacer, pendant plus d’un mois, jusqu’à sa case postale, où l’ordonnance pénale lui avait été adressée sous pli recommandé. Ce ne serait que le 1er avril 2014 qu’E.________ aurait pris connaissance de l’ordonnance pénale, qui lui serait finalement parvenue par courrier B, de sorte que son opposition aurait été déposée en temps utile.</w:t>
      </w:r>
    </w:p>
    <w:p>
      <w:r>
        <w:t>- 3 -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une partie qui a qualité pour recourir (art. 382 al. 1 CPP) et dans les formes prescrites (art. 385 al. 1 CPP). Il est donc recevable. 1.2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de sorte que le recours relève de la compétence d'un juge unique de la Chambre des recours pénale.</w:t>
      </w:r>
    </w:p>
    <w:p>
      <w:r>
        <w:t>- 4 - 2.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ait pu de bonne foi s’attendre à recevoir un pli judiciaire. Tel est le cas lorsqu'il y a une procédure en cours qui impose aux parties de se comporter conformément aux règles de la bonne foi, à savoir de faire en sorte, entre</w:t>
      </w:r>
    </w:p>
    <w:p>
      <w:r>
        <w:t>- 5 -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op. cit., n. 33 ad art. 85 CPP; TF 6B_314/2012 du 18 février 2013 c. 1.3.1 ; TF 6B_70/2011 du 1er juillet 2011 c. 2.2.3 ; ATF 130 III 396 c.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 1.3 ; TF 6B_158/2012 du 27 juillet 2012 c. 2.1 ; ATF 116 Ia 90 c. 2c).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 Kuhn/Jeanneret [éd.], op. cit., n. 7 ad art. 158 CPP ; Message du Conseil fédéral relatif à l’unification du droit de la procédure pénale du 21 décembre 2005, FF 2006 II 1057 ss, spéc. 1172). 2.2 En l’espèce, le recourant a été informé par la Commission de police de l'ouverture d'une procédure préliminaire le concernant. En effet, lors de son audition du 17 décembre 2013, il a été indiqué au recourant qu'il était entendu en qualité de prévenu (cf. PV aud. du 17 décembre 2013). Le recourant a en outre signé le formulaire relatif aux droits et</w:t>
      </w:r>
    </w:p>
    <w:p>
      <w:r>
        <w:t>- 6 - obligations du prévenu, lequel reprend les informations à donner à celui-ci lors de la première audition conformément à l’art. 158 al. 1 CPP. Ainsi, E.________ ne pouvait ignorer qu'il était partie à une procédure pénale; il avait donc le devoir de s'attendre à recevoir dans ce cadre-là des communications de la part des autorités, en l’occurrence une ordonnance pénale. Envoyé au recourant le 19 mars 2014, le pli recommandé contenant l’ordonnance pénale n’a pas été retiré au guichet de poste dans le délai de garde de sept jours, de sorte qu’à l’échéance de celui-ci, soit le 28 mars 2014, l’ordonnance pénale était réputée notifiée. Partant, le recourant disposait d’un délai au 7 avril 2014 (cf. art. 90 CPP) pour former opposition conformément à l’art. 354 al. 1 CPP. Or E.________ a envoyé son opposition le 10 avril 2014. Son opposition doit ainsi être considérée comme tardive. A ce titre, on rappellera qu’un deuxième envoi (en courrier A ou B) ne saurait faire partir un nouveau délai d’opposition, l’ordonnance pénale étant, en l’occurrence, réputée notifiée conformément à l’art. 85 al. 4 let. a CPP. C’est donc à bon droit que le Tribunal de police de l’arrondissement de l’Est vaudois l’a déclarée irrecevable. Certes, le recourant soutient que dans la mesure où la Commission de police avait été informée qu’il avait eu un accident, celle-ci était tenue de lui notifier l’ordonnance pénale à l’adresse de la personne qu’il avait indiquée pour le remplacer à l’audience du 19 mars 2014, à laquelle il avait été convoqué par la Commission de police ensuite de son opposition. Cela étant, non seulement le recourant n’a pas produit de certificat médical attestant son incapacité à relever son courrier, mais en outre il n’a pas informé la Commission de police qu’il n’était pas atteignable à son adresse habituelle. Or, comme il savait qu’il faisait l’objet d’une procédure pénale, il lui appartenait de prendre toutes les mesures lui permettant de prendre connaissance des communications officielles. 2.3 Il résulte de ce qui précède que le recours doit être rejeté et le prononcé attaqué confirmé.</w:t>
      </w:r>
    </w:p>
    <w:p>
      <w:r>
        <w:t>- 7 - Les frais de la procédure de recours, constitués en l’espèce de l’émolument d’arrêt, par 540 fr. (art. 20 al. 1 TFIP [tarif des frais de procédure et indemnités en matière pénale; RSV 312.03.1]), seront mis à la charge du recourant, qui succombe (art. 428 al. 1 CPP). Par ces motifs, le juge unique prononce : I. Le recours est rejeté. II. Le prononcé du 9 mai 2014 est confirmé. III. Les frais d’arrêt, par 540 fr. (cinq cent quarante francs), sont mis à la charge d’E.________. IV. Le présent arrêt est exécutoire. Le juge unique : La greffière : Du L'arrêt qui précède, dont la rédaction a été approuvée à huis clos, est notifié, par l'envoi d'une copie complète, à : - M. E.________, - Ministère public central;</w:t>
      </w:r>
    </w:p>
    <w:p>
      <w:r>
        <w:t>- 8 - et communiqué à : - Mme la Présidente du Tribunal d’arrondissement de l’Est vaudois, - M. le Président de la Commission de police de l’Association Sécurité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