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PE14.008024 vom 11. Mai 2022</w:t>
      </w:r>
    </w:p>
    <w:p>
      <w:r>
        <w:t>VD Tribunal cantonal, 2022-05-11, FR</w:t>
      </w:r>
    </w:p>
    <w:p>
      <w:r>
        <w:rPr>
          <w:b/>
        </w:rPr>
        <w:t xml:space="preserve">Quelle: </w:t>
      </w:r>
      <w:r>
        <w:t>https://mcp.opencaselaw.ch/entscheid/vd_gerichte_PE14.008024</w:t>
      </w:r>
    </w:p>
    <w:p>
      <w:r>
        <w:t>FR: VD_GERICHTE PE14.008024 du 11 mai 2022</w:t>
      </w:r>
    </w:p>
    <w:p>
      <w:r>
        <w:t>IT: VD_GERICHTE PE14.008024 del 11 maggio 2022</w:t>
      </w:r>
    </w:p>
    <w:p>
      <w:pPr>
        <w:pStyle w:val="Heading2"/>
      </w:pPr>
      <w:r>
        <w:t>Erwägungen</w:t>
      </w:r>
    </w:p>
    <w:p>
      <w:r>
        <w:rPr>
          <w:b/>
        </w:rPr>
        <w:t>E. 1</w:t>
      </w:r>
    </w:p>
    <w:p>
      <w:r>
        <w:t>Selon l'art. 59 al. 1 let. b CPP (Code de procédure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w:t>
      </w:r>
    </w:p>
    <w:p>
      <w:r>
        <w:t>- 7 -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C.________, dans la mesure où cette dernière est dirigée contre un membre du Ministère public.</w:t>
      </w:r>
    </w:p>
    <w:p>
      <w:r>
        <w:rPr>
          <w:b/>
        </w:rPr>
        <w:t>E. 2.1</w:t>
      </w:r>
    </w:p>
    <w:p>
      <w:r>
        <w:t>; TF 1B_395/2020 du 21 janvier 2021 consid. 7.1).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Dans la phase de l'enquête préliminaire, ainsi que de l'instruction et jusqu'à la mise en accusation, le ministère public est l'autorité investie de la direction de la procédure (art. 61 let. a CPP). A ce</w:t>
      </w:r>
    </w:p>
    <w:p>
      <w:r>
        <w:t>- 11 -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(ATF 138 IV 142 consid. 2.2.1). Cela est en particulier le cas lorsqu’il décide de l’ouverture d’une instruction (qui suppose l’existence de soupçons suffisants au sens de l’art. 309 al. 1 CPP) ou lorsqu’il ordonne des mesures de contrainte (TF 1B_348/2020 du 4 septembre 2020 consid. 3.1 ; TF 1B_315/2019 du 24 septembre 2019 consid. 3.1).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De manière générale, les déclarations d’un magistrat doivent être interprétées de façon objective, en tenant compte de leur contexte, de leurs modalités et du but apparemment recherché par leur auteur (TF 1B_449/2019 du 26 novembre 2019 consid. 4.1 ; TF 1B_150/2016 du 19 mai 2016 consid. 2.3).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 pour retenir qu'un magistrat serait prévenu, sauf s'ils paraissent viser une personne particulière et que leur tenue semble constitutive d'une grave</w:t>
      </w:r>
    </w:p>
    <w:p>
      <w:r>
        <w:t>- 12 - violation notamment des devoirs lui incombant (ATF 127 I 196 consid. 2d, JdT 2006 IV 240 ; TF 1B_186/2019 du 24 juin 2019 consid. 5.1).</w:t>
      </w:r>
    </w:p>
    <w:p>
      <w:r>
        <w:rPr>
          <w:b/>
        </w:rPr>
        <w:t>E. 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La récusation doit être demandée sans délai, dès que la partie a connaissance du motif de récusation, c'est-à-dire dans les jours qui suivent la connaissance de la cause de récusation (TF 1B_536/2021 du 28 janvier 2022 consid. 3.1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w:t>
      </w:r>
    </w:p>
    <w:p>
      <w:r>
        <w:t>- 8 - n'est pas tardive la requête formée après une période de six ou sept jours (TF 1B_536/2021 précité consid. 3.1 ; TF 1B_367/2021 du 29 novembre 2021 consid. 2.1), mais en tout cas dans un délai inférieur à dix jours (JdT 2015 III 113). Il incombe à la partie qui se prévaut d'un motif de récusation de rendre vraisemblable qu'elle a agi en temps utile, en particulier de rendre vraisemblable le moment de la découverte de ce motif (arrêts précités ; TF 1B_305/2019 et 1B_330/2019 du 26 novembre 2019 consid. 3.2.1).</w:t>
      </w:r>
    </w:p>
    <w:p>
      <w:r>
        <w:rPr>
          <w:b/>
        </w:rPr>
        <w:t>E. 2.3</w:t>
      </w:r>
    </w:p>
    <w:p>
      <w:r>
        <w:t>En l’espèce, le requérant fonde pour l’essentiel sa requête de récusation sur le contenu de l’ordonnance de classement rendue en faveur de B.________ le 14 octobre 2021. Le requérant n’était pas partie à cette procédure. L’ordonnance en question a été versée au dossier de la cause [...] pour la première fois le 30 novembre 2021. Il ne ressort pas du procès-verbal des opérations que le conseil du requérant aurait consulté ce dossier avant qu’il ne lui soit envoyé par voie informatique le 25 mars 2022. L’avocat expose en outre qu’il n’a pas examiné les documents transmis avant le 30 mars 2022, ce qui paraît d’une part plausible et d’autre part acceptable, un conseil n’étant pas obligatoirement tenu de se plonger dans la mise à jour d’un dossier aussitôt qu’elle lui est remise. On doit donc considérer que la requête de récusation déposée le 4 avril 2022 l’a été en temps utile. Elle ne saurait par conséquent être déclarée irrecevable pour cause de tardiveté. La réplique spontanée du 21 avril 2022 est recevable en vertu du droit d’être entendu du requérant (cf. ATF 138 I 484 consid. 2 ; ATF 138 I 154 consid. 2.3.3). L’écriture supplémentaire du 3 mai 2022 est quant à elle irrecevable dans le cadre de la procédure de récusation en cours, dès lors qu’elle a été déposée après l’échéance du délai de réplique spontanée de dix jours usuellement admis et en l’absence de nouvelle écriture (duplique) du Ministère public. Il en va de même pour l’écriture complémentaire déposée le 9 mai 2022.</w:t>
      </w:r>
    </w:p>
    <w:p>
      <w:r>
        <w:rPr>
          <w:b/>
        </w:rPr>
        <w:t>E. 3</w:t>
      </w:r>
    </w:p>
    <w:p>
      <w:r>
        <w:t>- 9 -</w:t>
      </w:r>
    </w:p>
    <w:p>
      <w:r>
        <w:rPr>
          <w:b/>
        </w:rPr>
        <w:t>E. 3.1</w:t>
      </w:r>
    </w:p>
    <w:p>
      <w:r>
        <w:t>Le Procureur [...] souligne le caractère parfois incompréhensible et prolixe de la requête du 4 avril 2022 et évoque la possibilité de faire application de l’art. 110 al. 4 CPP.</w:t>
      </w:r>
    </w:p>
    <w:p>
      <w:r>
        <w:rPr>
          <w:b/>
        </w:rPr>
        <w:t>E. 3.2</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3.3</w:t>
      </w:r>
    </w:p>
    <w:p>
      <w:r>
        <w:t>En l’occurrence, il est vrai que la requête n’est pas très synthétique, qu’elle inclut des passages qui relèvent plus de la plaidoirie au fond que de la demande de récusation et qu’elle contient des réquisitions qui s’adressent tantôt au procureur tantôt à l’autorité de récusation. Cela étant, il ressort néanmoins clairement de cette écriture que le requérant demande la récusation du Procureur [...] au motif que les considérants de l’ordonnance de classement rendue le 14 octobre 2021 dans la cause [...] en faveur de B.________ révéleraient l’existence d’un parti pris et fonderaient une suspicion réelle et concrète de partialité. On comprend par ailleurs que le requérant requiert la production du dossier concerné dans le cadre de la procédure de récusation (cf. requête p. 5). La Chambre de céans est ainsi en mesure de statuer sur la demande du requérant sans passer par la procédure de mise en conformité de l’art. 110 al. 4 CPP.</w:t>
      </w:r>
    </w:p>
    <w:p>
      <w:r>
        <w:rPr>
          <w:b/>
        </w:rPr>
        <w:t>E. 4</w:t>
      </w:r>
    </w:p>
    <w:p>
      <w:r>
        <w:t>La requête tendant à la production du dossier de la cause [...] doit être rejetée. En effet, si la loi n’empêche pas que l’autorité de récusation procède à des actes d’instruction lorsqu’une partie demande la récusation d’un magistrat en se fondant sur l’art. 56 let. f CPP (TF 1B_131/2011 du 2 mai 2011 consid. 2.2), la prise de connaissance de ce dossier n’est en l’occurrence pas nécessaire pour statuer (art. 139 al. 2 CPP), au vu de ce qui suit (cf. consid. 5.3 infra).</w:t>
      </w:r>
    </w:p>
    <w:p>
      <w:r>
        <w:rPr>
          <w:b/>
        </w:rPr>
        <w:t>E. 5</w:t>
      </w:r>
    </w:p>
    <w:p>
      <w:r>
        <w:t>- 10 -</w:t>
      </w:r>
    </w:p>
    <w:p>
      <w:r>
        <w:rPr>
          <w:b/>
        </w:rPr>
        <w:t>E. 5.1</w:t>
      </w:r>
    </w:p>
    <w:p>
      <w:r>
        <w:t>Comme déjà indiqué ci-avant, le requérant soutient en substance que les considérants de l’ordonnance de classement rendue le 14 octobre 2021 dans la cause [...] en faveur de B.________ fonderaient une prévention évidente du procureur à son encontre.</w:t>
      </w:r>
    </w:p>
    <w:p>
      <w:r>
        <w:rPr>
          <w:b/>
        </w:rPr>
        <w:t>E. 5.2.1</w:t>
      </w:r>
    </w:p>
    <w:p>
      <w:r>
        <w:t>Un magistrat est récusable pour l'un des motifs prévus à l’art.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Cet article du CPP concrétise aussi les droits déduits de l'art. 29 al. 1 Cst. garantissant l'équité du procès et assure au justiciable cette protection lorsque d'autres autorités ou organes (cf. en particulier art. 12 CPP) que des tribunaux (cf. art. 13 CPP) sont concernés (ATF 141 IV 178 consid. 3.2.2, JdT 2016 IV 247 ; TF 1B_607/2020 du 16 mars 2021 consid.</w:t>
      </w:r>
    </w:p>
    <w:p>
      <w:r>
        <w:rPr>
          <w:b/>
        </w:rPr>
        <w:t>E. 5.2.2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D'autre part, la jurisprudence considère que le magistrat appelé à statuer à nouveau après l'annulation d'une de ses décisions est en général à même de tenir compte de l'avis exprimé par l'instance supérieure et de s'adapter aux injonctions qui lui sont faites (ATF 143 IV 69 consid. 3.1; TF 1B_476/2019 du 27 janvier 2020 consid. 3.2.2). 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(TF 1B_476/2019 du 27 janvier 2020 consid. 3.2.2; TF 1B_430/2015 du 5 janvier 2016 consid. 3.2, in SJ 2017 I 49). La jurisprudence exige cependant que l'issue de la seconde cause ne soit pas prédéterminée, mais qu'elle demeure indécise quant à la constatation des faits et à la résolution des questions</w:t>
      </w:r>
    </w:p>
    <w:p>
      <w:r>
        <w:t>- 13 - juridiques (ATF 134 IV 289 consid. 6.2; TF 1B_13/2021 du 1er juillet 2021 consid. 3.3).</w:t>
      </w:r>
    </w:p>
    <w:p>
      <w:r>
        <w:rPr>
          <w:b/>
        </w:rPr>
        <w:t>E. 5.3.1</w:t>
      </w:r>
    </w:p>
    <w:p>
      <w:r>
        <w:t>En l’espèce, le requérant est notamment prévenu de faux dans les titres, pour avoir fabriqué un faux inventaire relatif aux objets transférés lors du rachat de la société S.________ ([...]). Il est également plaignant dans la procédure dirigée contre la sœur d’I.________ pour faux témoignage ([...]). Les présentes causes ([...]) sont instruites par le Procureur [...] et s’inscrivent dans le cadre du litige qui oppose le requérant à I.________ au sujet de la propriété [...] qui pourrait avoir une grande importance artistique et historique et dont le prix s’élèverait à [...]. À cet égard, le requérant soutient que [...] figurait parmi les biens qu’il aurait repris de M.________ lors du rachat de sa société S.________ en 2003. Il se prévaut d’un inventaire qui aurait été établi en 2003 et dont il aurait fait un « duplicata » en 2010 (cf. P. 6/4 et 6/5 ; PV aud. 11, lignes 23 ss, lignes 114 ss ; PV aud. 14, lignes 124 ss ; PV aud. 20, lignes 321 ss). L’administratrice de S.________, B.________, a été entendue dans le cadre de la cause [...] au sujet des modalités de reprise de la société. A cette occasion, elle a notamment affirmé qu’un inventaire avait bien été établi en 2003 et assuré l’avoir visé en présence des différents objets qui y étaient mentionnés, notamment [...] (PV aud. 4). Dans son ordonnance du 14 octobre 2021 (P. 408 et 409), le Procureur [...] a certes classé la procédure ouverte contre B.________ pour faux témoignage à la suite de cette audition. Il ressort toutefois des considérants de cette décision que pour ce magistrat, B.________ a malgré tout fait une déposition fausse en affirmant avoir signé l’inventaire en 2003 et en assurant que les objets qui y figuraient étaient en sa présence au moment où elle a visé ce document. Le Procureur [...] retient en effet qu’il est établi que l’inventaire de 2003 est un faux qui a été fabriqué de toutes pièces par le requérant et que l’enquête a par ailleurs permis d’établir que B.________ n’avait pas pu voir [...] en question à ce moment-là dans la boutique de S.________. Il ajoute par ailleurs que B.________, par son</w:t>
      </w:r>
    </w:p>
    <w:p>
      <w:r>
        <w:t>- 14 - comportement irréfléchi, a facilité les « malversations » du requérant et que ce dernier l’a « instrumentalisée ». Comme le relève le Procureur [...] dans ses déterminations, il est vrai que cette ordonnance ne constitue qu’un moyen de preuve qui pourra encore être librement apprécié par l’autorité de jugement. Il n’en demeure pas moins que cette ordonnance a été rendue par le même magistrat que celui qui instruit la cause dirigée contre le requérant pour tentative d’escroquerie et faux dans les titres notamment. Contrairement à ce qu’il fait valoir, ses considérants ne sont pas assimilables à une simple opinion basée sur les différents éléments du dossier. Le Procureur [...] s’est en effet définitivement prononcé sur la portée d’un témoignage recueilli dans le cadre de la cause [...] qu’il instruit contre le requérant et qui aurait pu servir les intérêts de ce dernier. En faisant par ailleurs état d’une « instrumentalis[ation] » et de « malversations » du requérant, le procureur qualifie de manière extrêmement négative son attitude et son comportement. Il semble d’ailleurs et surtout s’être définitivement forgé une conviction quant à la culpabilité du requérant s’agissant de l’infraction de faux dans les titres à tout le moins. En effet, l’usage des termes litigieux (« instrumentalis[ation] » et « malversations ») qualifiant les agissements du requérant et le fait que le Procureur [...] retienne, dans les faits, que l’intéressé a fabriqué un faux de toutes pièces laissent entendre que l’issue de la cause dirigée contre ce dernier est prédéterminée au sens de la jurisprudence précitée (cf. consid. 5.2.2 supra). Dans ces circonstances, la garantie d’une instruction menée tant à charge qu’à décharge ne paraît dès lors plus pouvoir être assurée à l’avenir dans la cause [...]. Par ailleurs, en qualifiant les agissements de C.________ de « malversations » et en retenant que l’inventaire de 2003 est un faux qui a été fabriqué de toutes pièces par le prénommé, le magistrat intimé fait également apparaître qu’il ne sera pas capable d’aborder la procédure menée sur plainte du requérant sous la référence [...] en faisant abstraction des opinions qu’il a précédemment émises au sujet du</w:t>
      </w:r>
    </w:p>
    <w:p>
      <w:r>
        <w:t>- 15 - comportement de ce dernier, puisque dans cette autre cause, il est précisément question de savoir si, comme le prétend l’intéressé, la sœur et le fils d’I.________ ont menti sur l’origine des photographies [...] versées au dossier. Cela ressort d’ailleurs également de la demande d’entraide internationale du 5 janvier 2022 – postérieure à l’ordonnance de classement du 14 octobre 2021 contenant les passages litigieux – visant à procéder à l’audition par la voie d’une commission rogatoire de [...], dans laquelle ce magistrat a indiqué, à la question 15, que « selon toute vraisemblance, [...] serait issu de [...] » alors que l’intéressé affirme, comme on l’a vu, que [...] faisait partie du stock de la [...] reprise en 2003 en se prévalant de l’inventaire précédemment qualifié de faux par le procureur. Au vu des différents éléments qui précèdent, on ne peut nier, en l’espèce, l’existence d’une apparence de prévention du Procureur [...], ce qui justifie sa récusation dans les deux affaires en cause. Cela rend superflu l’examen des autres griefs invoqués par le requérant à l’encontre du procureur, notamment ceux exposés dans la réplique (P. 437/1).</w:t>
      </w:r>
    </w:p>
    <w:p>
      <w:r>
        <w:rPr>
          <w:b/>
        </w:rPr>
        <w:t>E. 6</w:t>
      </w:r>
    </w:p>
    <w:p>
      <w:r>
        <w:t>Il résulte de ce qui précède que la demande de récusation présentée par C.________ le 4 avril 2022 doit être admise. Le dossier sera transmis au Bureau du Grand Conseil en vue de la désignation d’un procureur extraordinaire conformément à l’art. 6 al. 1 LMPu (loi sur le Ministère public du 19 mai 2009 ; BLV 173.21). Me Stephen Gintzburger, défenseur d'office de C.________, n'a pas produit de liste d'opérations. Il convient de rémunérer au total 5 heures d’activité pour la demande du 4 avril 2022 et la réplique recevable du 21 avril 2022, les deux écritures ultérieures, irrecevables, n'entrainant aucune rémunération de l'avocat. Au tarif horaire de 180 fr., cela correspond à des honoraires de 900 fr., montant auquel il convient</w:t>
      </w:r>
    </w:p>
    <w:p>
      <w:r>
        <w:t>- 16 - d’ajouter des débours forfaitaires à concurrence de 2 % (art. 2 al. 1 let. a et let. b, et 3bis al. 1 RAJ [règlement sur l'assistance judiciaire en matière civile du 7 décembre 2010 ; BLV 211.02.3], applicables par renvoi de l’art. 26b TFIP [tarif des frais de procédure et indemnités en matière pénale du 29 septembre 2010 ; BLV 312.03.1]), par 18 fr., plus la TVA par 70 fr. 70, soit à un total arrondi de 989 francs. Les frais de procédure, constitués de l’émolument de décision, par 1'650 fr. (art. 20 al. 1 TFIP), et des frais imputables à la défense d’office du requérant (art. 422 al. 1 et 2 let. a CPP), fixés à 989 fr., seront laissés à la charge de l’Etat (art. 59 al. 4 CPP). Par ces motifs, la Chambre des recours pénale prononce : I. La demande de récusation présentée le 4 avril 2022 contre le Procureur A.________ est admise. II. Le dossier de la cause est transmis au Bureau du Grand Conseil, dès que la présente décision sera définitive, pour qu’il désigne un procureur extraordinaire. III. L’indemnité allouée au défenseur d’office de C.________ est fixée à 989 fr. (neuf cent huitante-neuf francs). IV. Les frais de décision, par 1'650 fr. (mille six cent cinquante francs), ainsi que l’indemnité due au défenseur d’office de C.________, par 989 fr. (neuf cent huitante-neuf francs), sont laissés à la charge de l’Etat. V. La décision est exécutoire. La présidente : Le greffier :</w:t>
      </w:r>
    </w:p>
    <w:p>
      <w:r>
        <w:t>- 17 - Du La présente décision, dont la rédaction a été approuvée à huis clos, est notifiée, par l'envoi d'une copie complète, à : - M. le Procureur [...], - Me Stephen Gintzburger, avocat (pour C.________).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