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PE14.007994 vom 10. September 2015</w:t>
      </w:r>
    </w:p>
    <w:p>
      <w:r>
        <w:t>VD Tribunal cantonal, 2015-09-10, FR</w:t>
      </w:r>
    </w:p>
    <w:p>
      <w:r>
        <w:rPr>
          <w:b/>
        </w:rPr>
        <w:t xml:space="preserve">Quelle: </w:t>
      </w:r>
      <w:r>
        <w:t>https://mcp.opencaselaw.ch/entscheid/vd_gerichte_PE14.007994</w:t>
      </w:r>
    </w:p>
    <w:p>
      <w:r>
        <w:t>FR: VD_GERICHTE PE14.007994 du 10 septembre 2015</w:t>
      </w:r>
    </w:p>
    <w:p>
      <w:r>
        <w:t>IT: VD_GERICHTE PE14.007994 del 10 settembre 2015</w:t>
      </w:r>
    </w:p>
    <w:p>
      <w:pPr>
        <w:pStyle w:val="Heading2"/>
      </w:pPr>
      <w:r>
        <w:t>Erwägungen</w:t>
      </w:r>
    </w:p>
    <w:p>
      <w:r>
        <w:rPr>
          <w:b/>
        </w:rPr>
        <w:t>E. 4.1</w:t>
      </w:r>
    </w:p>
    <w:p>
      <w:r>
        <w:t>L'appelant conteste la quotité de la peine qui lui a été infligée.</w:t>
      </w:r>
    </w:p>
    <w:p>
      <w:r>
        <w:t>- 25 -</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TF 6B_759/2011 du 19 avril 2012 consid. 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 ATF 121 IV 49 consid. 1b).</w:t>
      </w:r>
    </w:p>
    <w:p>
      <w:r>
        <w:t>- 26 -</w:t>
      </w:r>
    </w:p>
    <w:p>
      <w:r>
        <w:rPr>
          <w:b/>
        </w:rPr>
        <w:t>E. 4.3</w:t>
      </w:r>
    </w:p>
    <w:p>
      <w:r>
        <w:t>Les lésions corporelles graves sont passibles d'une peine privative de liberté de dix ans au plus ou d’un peine pécuniaire de 180 jours-amende au moins (art. 122 CP). En l'espèce, la peine encourue pour cette infraction sera atténuée pour tenir compte du fait que le résultat nécessaire à sa consommation ne s'est pas produit (cf. art. 22 al. 1 CP). La culpabilité de X.________ est objectivement très lourde. Contrairement à ce qu’il a fait plaider, il ne peut être fondé aucune comparaison avec la peine prononcée dans le cadre de l’arrêt TF 6B_889/2013, dès lors que, dans ce cas, la circonstance atténuante de la légitime défense a été partiellement admise. A charge de l’appelant, on retiendra que celui-ci s’en est pris intentionnellement à l’un des biens juridiquement protégés les plus précieux, soit la vie humaine, qu’il a consciemment et volontairement mise en danger. Comme l’a à juste titre relevé le tribunal de première instance, l’appelant ne doit l’absence d’issue fatale qu’au hasard ou à la chance. Le mobile de l’appelant était purement égoïste, X.________ refusant d'accepter que la victime ne se soumette pas à sa domination. Pour une raison aussi futile que la tenue vestimentaire de son fils et vexé par les propos de la victime qu’il a perçus comme une atteinte à son statut de patriarche, le prévenu a voulu « punir ». On retiendra également à charge l'intensité de la volonté délictueuse manifestée par l’intéressé. Déjà dans l’appartement, il a fait preuve d’une violence démesurée, allant jusqu’à briser un rouleau à pâte sur le corps de son enfant. Loin de se contenter de ces actes de violence et alors même que sa victime avait pris la fuite, il n’est pas parvenu à reprendre le contrôle, organisant son transport à l’hôpital où se trouvait son fils et imaginant un scénario pour pouvoir l’approcher sans alarmer le personnel médical. Toute cette planification démontre l’acharnement de l’appelant à avoir le dernier mot, ou plutôt, en l’occurrence, le dernier coup. Il a agi avec une froideur peu commune. Même le fait de sentir la lame de son couteau se planter dans la chair de son fils ne l’a pas ramené à la raison. Au contraire, il a encore frappé celui-ci, alors qu’il se trouvait au sol, gravement blessé et baignant dans son sang, sous prétexte que le jeune homme l’aurait alors injurié, démontrant encore une fois, si besoin est, sa capacité de détachement par rapport à la souffrance d’autrui et le</w:t>
      </w:r>
    </w:p>
    <w:p>
      <w:r>
        <w:t>- 27 - mépris dont il est capable. Ces actes s’inscrivent dans un crescendo de violence dans lequel l’appelant semble s’être engagé depuis plusieurs années vis-à-vis des membres de sa famille et que seule son arrestation a apparemment permis d’enrayer. Le parcours de l’appelant ne dénote aucune remise en question. Au contraire, il persiste à reporter la responsabilité de tous ses maux sur des éléments extérieurs, se retranchant notamment derrière son état de santé ou sa mémoire déficiente, ou sur des tiers, en particulier sur son épouse s’agissant de l’éducation de leurs enfants. Les regrets et les remords exprimés en cours de procédure apparaissent circonstanciés dès lors que les courriers émanant du prévenu lors de sa détention et versés au dossier font la démonstration qu'il n'existe en réalité aucune volonté à ce stade de modifier ses valeurs éducatives ou d’évoluer dans sa manière de concevoir son rapport à ses proches. L’appelant n'a par ailleurs jamais donné l’impression d’avoir réellement compris la gravité des actes commis. A charge toujours, à l’instar du tribunal de première instance, la Cour de céans retiendra le concours d’infractions et la réitération d'actes délictueux violents, le prévenu ayant un antécédent pour des faits violents et gratuits. A décharge, la Cour de céans partage l’appréciation du tribunal selon laquelle il y a lieu de tenir compte des difficultés personnelles auxquelles l’appelant a dû faire face dans son parcours de vie. Il a un mode de fonctionnement psychologique qui n’est pas celui d’un homme sans trouble, même si sa responsabilité pénale demeure pleine et entière s'agissant des faits commis. Contrairement à ce qu’il a fait plaider, on ne retiendra toutefois pas sa bonne collaboration pendant l’enquête, dès lors que les versions du prévenu n’ont eu de cesse de changer, notamment sur les raisons pour lesquelles il se serait rendu à Payerne ou pour lesquelles il était armé d’un couteau ce jour-là. Enfin, X.________ a également eu un comportement correct en détention, même si ce comportement est finalement ce que l’on peut raisonnablement attendre de tout détenu.</w:t>
      </w:r>
    </w:p>
    <w:p>
      <w:r>
        <w:t>- 28 - Au vu des éléments qui précèdent, la peine privative de liberté de quatre ans est adéquate et doit donc être confirmée.</w:t>
      </w:r>
    </w:p>
    <w:p>
      <w:r>
        <w:rPr>
          <w:b/>
        </w:rPr>
        <w:t>E. 4.4</w:t>
      </w:r>
    </w:p>
    <w:p>
      <w:r>
        <w:t>Il y a lieu de porter en déduction de cette peine la détention provisoire subie, ainsi que les jours passés en exécution anticipée de peine. On retranchera également de la peine un jour de détention à titre de réparation de la détention provisoire subie dans des conditions illicites.</w:t>
      </w:r>
    </w:p>
    <w:p>
      <w:r>
        <w:rPr>
          <w:b/>
        </w:rPr>
        <w:t>E. 4.5</w:t>
      </w:r>
    </w:p>
    <w:p>
      <w:r>
        <w:t>Au regard de la quotité de la peine prononcée, la question d’un sursis, même partiel, ne se pose pas.</w:t>
      </w:r>
    </w:p>
    <w:p>
      <w:r>
        <w:rPr>
          <w:b/>
        </w:rPr>
        <w:t>E. 5.1</w:t>
      </w:r>
    </w:p>
    <w:p>
      <w:r>
        <w:t>L'appelant conteste la révocation de son précédent sursis.</w:t>
      </w:r>
    </w:p>
    <w:p>
      <w:r>
        <w:rPr>
          <w:b/>
        </w:rPr>
        <w:t>E. 5.2</w:t>
      </w:r>
    </w:p>
    <w:p>
      <w:r>
        <w:t>Selon l'art. 46 al. 1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il doit prendre en considération l'effet dissuasif que la nouvelle peine peut exercer, si elle est exécutée (ATF 134 IV 140 consid. 4.5).</w:t>
      </w:r>
    </w:p>
    <w:p>
      <w:r>
        <w:t>- 29 -</w:t>
      </w:r>
    </w:p>
    <w:p>
      <w:r>
        <w:rPr>
          <w:b/>
        </w:rPr>
        <w:t>E. 5.3</w:t>
      </w:r>
    </w:p>
    <w:p>
      <w:r>
        <w:t>L'appelant a été condamné à une reprise, soit le 19 juin 2012, à une peine pécuniaire de 120 jours-amende et à une amende de 900 fr. pour lésions corporelles. Il a récidivé dans le délai d’épreuve de cette première condamnation. Au surplus, les experts ont qualifié le risque de récidive d’élevé s’agissant d’actes de même nature. Toutefois, X.________ se trouve pour la première fois privé de sa liberté. A la lecture du rapport du service médical pénitentiaire (P. 114), il apparaît qu’il mette à profit cette détention pour investir de manière active la prise en charge pluridisciplinaire incluant des entretiens psychothérapeutiques et des soins somatiques dont il bénéficie. Ce traitement semble permettre une évolution certes lente mais favorable et l’appelant parviendrait au demeurant à préserver les acquis thérapeutiques. A la lumière de ces éléments, il apparaît que l’exécution de la présente peine est susceptible d’influer positivement sur le comportement de l’appelant et on peut espérer que cette sanction aura l'effet choc escompté. Par ailleurs, un traitement ambulatoire au sens de l’art. 63 CP a été ordonné, que l’appelant ne conteste pas, et qui est susceptible de le soutenir dans l’évolution qu’il semble avoir enfin entamée. Partant, et non sans une certaine réserve, la Cour de céans est d’avis qu’il y a lieu de renoncer à la révocation du précédent sursis.</w:t>
      </w:r>
    </w:p>
    <w:p>
      <w:r>
        <w:rPr>
          <w:b/>
        </w:rPr>
        <w:t>E. 6</w:t>
      </w:r>
    </w:p>
    <w:p>
      <w:r>
        <w:t>En définitive, l’appel de X.________ doit être partiellement admis et le jugement attaqué modifié au chiffre VI de son dispositif dans le sens des considérants qui précèdent. Vu l’issue de la cause, les frais de la procédure d’appel, composés de l’émolument d’arrêt, par 2’420 fr. (art. 21 al. 1 et 2 TFIP [Tarif des frais de procédure et indemnités en matière pénale du 28 septembre 2010 ; RSV 312.03.1]), et de l’indemnité allouée au défenseur d’office de X.________ pour la procédure d’appel (art. 422 al. 1 et al. 2 let. a CPP), arrêtée sur la base de la liste des opérations produite à</w:t>
      </w:r>
    </w:p>
    <w:p>
      <w:r>
        <w:t>- 30 - 2’775 fr. 60, TVA et débours inclus, seront mis par trois-quarts à la charge de l’appelant (art. 428 al.1 CPP), le solde étant laissé à la charge de l’Etat. X.________ ne sera tenu de rembourser la part du montant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