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PE14.007796 vom 4. Februar 2015</w:t>
      </w:r>
    </w:p>
    <w:p>
      <w:r>
        <w:t>VD Tribunal cantonal, 2015-02-04, FR</w:t>
      </w:r>
    </w:p>
    <w:p>
      <w:r>
        <w:rPr>
          <w:b/>
        </w:rPr>
        <w:t xml:space="preserve">Quelle: </w:t>
      </w:r>
      <w:r>
        <w:t>https://mcp.opencaselaw.ch/entscheid/vd_gerichte_PE14.007796</w:t>
      </w:r>
    </w:p>
    <w:p>
      <w:r>
        <w:t>FR: VD_GERICHTE PE14.007796 du 4 février 2015</w:t>
      </w:r>
    </w:p>
    <w:p>
      <w:r>
        <w:t>IT: VD_GERICHTE PE14.007796 del 4 febbraio 2015</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TF 1B_37/2014 du 10 juin 2014 c. 2.2 ; ATF 139 IV 113, JT 2014 IV 30 ; CREP 20 août 2014/584 ; CREP 7 juillet 2014/452).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interjeté en temps utile devant l’autorité compétente, par une partie qui a qualité pour recourir (art. 382 al. 1 CPP) et dans les formes prescrites (art. 385 al. 1 CPP), le recours est recevable.</w:t>
      </w:r>
    </w:p>
    <w:p>
      <w:r>
        <w:rPr>
          <w:b/>
        </w:rPr>
        <w:t>E. 2.1</w:t>
      </w:r>
    </w:p>
    <w:p>
      <w:r>
        <w:t>En dehors des cas de défense obligatoire au sens de l’art. 130 CPP, la direction de la procédure ordonne une défense d’office si le prévenu ne dispose pas des moyens nécessaires et si l’assistance d’un</w:t>
      </w:r>
    </w:p>
    <w:p>
      <w:r>
        <w:t>- 4 -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w:t>
      </w:r>
    </w:p>
    <w:p>
      <w:r>
        <w:rPr>
          <w:b/>
        </w:rPr>
        <w:t>E. 2.2</w:t>
      </w:r>
    </w:p>
    <w:p>
      <w:r>
        <w:t>En l'espèce, la Cour de céans a récemment examiné la question de la désignation d'un défenseur d'office au recourant (CREP 24 septembre 2014/700). En l'absence d'éléments nouveaux, il n'y a pas lieu de statuer différemment. Il s’agit d'un cas de peu de gravité et la cause ne présente pas de difficultés particulières, si bien que le recourant est en mesure de se défendre seul. En outre, en sa qualité de prévenu, le recourant ne peut se voir dispenser des frais de procédure. Seule la partie plaignante peut solliciter l'exonération de ces frais (art. 136 CPP). S'il est condamné, le recourant supportera ainsi les frais de procédure conformément à l'art. 426 al. 1 CPP. Au vu de ce qui précède, il y a lieu de constater que l’assistance d’un avocat n’est pas nécessaire à la sauvegarde des intérêts d'H.________ au sens de l'art. 132 al. 1 let. b CPP. C’est donc à bon droit que le Tribunal de police a rejeté la requête du recourant tendant à la désignation d’un défenseur d’office.</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(art. 422 al. 1 CPP), par 550 fr. (art. 20 al. 1 TFIP [tarif des frais de procédure et indemnités en matière pénale du 28 septembre 2010 ; RSV 312.03.1]), seront mis à la charge du recourant, qui succombe (art. 428 al. 1 CPP).</w:t>
      </w:r>
    </w:p>
    <w:p>
      <w:r>
        <w:t>- 6 - Par ces motifs, la Chambre des recours pénale prononce : I. Le recours est rejeté. II. L'ordonnance du 20 janvier 2015 est confirmée. III. Les frais du présent arrêt, par 550 fr. (cinq cent cinquante francs), sont mis à la charge d'H.________. IV. Le présent arrêt est exécutoire. Le président : La greffière : Du Le présent arrêt, dont la rédaction a été approuvée à huis clos, est notifié, par l'envoi d'une copie complète, à : - M. H.________, - Ministère public central, et communiqué à : - Mme la Présidente du Tribunal de police de l'arrondissement de Lausanne, - M. le Procureur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