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PE14.006984 vom 15. Juni 2015</w:t>
      </w:r>
    </w:p>
    <w:p>
      <w:r>
        <w:t>VD Tribunal cantonal, 2015-06-15, FR</w:t>
      </w:r>
    </w:p>
    <w:p>
      <w:r>
        <w:rPr>
          <w:b/>
        </w:rPr>
        <w:t xml:space="preserve">Quelle: </w:t>
      </w:r>
      <w:r>
        <w:t>https://mcp.opencaselaw.ch/entscheid/vd_gerichte_PE14.006984</w:t>
      </w:r>
    </w:p>
    <w:p>
      <w:r>
        <w:t>FR: VD_GERICHTE PE14.006984 du 15 juin 2015</w:t>
      </w:r>
    </w:p>
    <w:p>
      <w:r>
        <w:t>IT: VD_GERICHTE PE14.006984 del 15 giugno 2015</w:t>
      </w:r>
    </w:p>
    <w:p>
      <w:pPr>
        <w:pStyle w:val="Heading2"/>
      </w:pPr>
      <w:r>
        <w:t>Erwägungen</w:t>
      </w:r>
    </w:p>
    <w:p>
      <w:r>
        <w:rPr>
          <w:b/>
        </w:rPr>
        <w:t>E. 22</w:t>
      </w:r>
    </w:p>
    <w:p>
      <w:r>
        <w:t>mars 2012 c. 3.1.1). 3. 3.1 Aux termes de l'art. 14 CP (Code pénal; RS 311.0), quiconque agit comme la loi l’ordonne ou l’autorise se comporte de manière licite, même si l’acte est punissable en vertu du présent code ou d’une autre loi. Il était déjà acquis, aux termes de la jurisprudence et de la doctrine relatives à l'art. 32 aCP, que le devoir de fonction et le devoir de profession, tels qu'expressément prévus à l'art. 32 aCP, ne constituaient pas des justifications autonomes découlant directement de cette norme pénale, mais devaient également, conformément au principe de base, reposer sur une (autre) norme juridique écrite ou non écrite. L'art. 14 CP, à l'instar de l'art. 32 aCP, ne renferme en lui-même aucun motif justificatif et ne constitue qu'une norme de renvoi, par exemple au droit public cantonal, s'agissant de déterminer l'existence et l'étendue d'un devoir de fonction (Monnier, Commentaire romand, Bâle 2009, n. 21 ad art. 14-18 CP, p. 174 et la référence citée).</w:t>
      </w:r>
    </w:p>
    <w:p>
      <w:r>
        <w:t>- 5 - En droit cantonal, l'art. 24 de la loi sur la police cantonale (RSV 131.11, LPol) interdit au fonctionnaire de police de faire subir à quiconque un outrage ou des mauvais traitements, mais prévoit que la police peut, pour l'accomplissement de son service, utiliser la force, dans une mesure proportionnée aux circonstances, lorsqu'il n'existe pas d'autre moyen d'agir. La licéité de l'acte est, en tous les cas, subordonnée à la condition qu'il soit proportionné à son but (ATF 107 IV 84, c. 4). Il faut donc se demander si le préjudice porté aux droits de tiers n'excède pas ce qui est nécessaire pour atteindre le but qui le justifie (ATF 107 IV 84, précité, c. 4 et 4a; ATF 94 IV 5, c. 1 et 2a), en tenant compte des circonstances du cas d'espèce, soit de la justification et du type de la mesure prise, ainsi que des moyens et du temps dont disposait l'intéressé, selon la représentation qu'il avait des faits au moment où il a agi (TF 6B_930/2008 du 15 janvier 2009, c. 3.1 et la référence citée).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Ainsi, les autorités judiciaires ne doivent pas se livrer à des raisonnements a posteriori trop subtils pour établir si l'auteur des mesures de défense n'aurait pas pu ou dû se contenter d'avoir recours à des moyens moins dommageables (Monnier, op. cit., n. 5 ad art. 14-18 CP, p. 172 et les références citées). 3.2 En l’espèce, il ressort des déclarations du sergent O.________ que son collègue et lui-même avaient demandé à la plaignante de les suivre à plusieurs reprises avant de l’entraver et l’avaient avertie qu’en cas de refus, ils feraient usage des menottes. T.________ était devenue hystérique et criait. Au vu de la situation et de son refus de les suivre, ils ont fait usage des menottes, qu’ils lui ont passées en devant faire usage de la force (PV aud. 2). Le sergent J.________ a confirmé les déclarations de son collègue, précisant qu’ils avaient dans un premier temps enjoint</w:t>
      </w:r>
    </w:p>
    <w:p>
      <w:r>
        <w:t>- 6 - poliment la lésée de les suivre. Il a confirmé que la plaignante ne s’était pas laissée faire lors de son interpellation. Un premier témoin, K.________, présent sur les lieux lors de l’interpellation de T.________, a déclaré avoir vu les policiers entrer dans le magasin, puis avoir entendu la plaignante crier « vous me faites mal » lors de l’intervention de ces derniers. Il a également indiqué avoir entendu les gendarmes avertir la lésée qu’ils pouvaient la menotter si nécessaire. Il a précisé que les policiers « ont fait leur travail » (PV aud. 4). Un second témoin, S.________, a quant à elle déclaré avoir entendu T.________ crier et parler très fort, manifestant par là son mécontentement ; la témoin a précisé qu’T.________ était énervée, qu’elle n’était pas d’accord de suivre les policiers et qu’« elle était hystérique, très fâchée » (PV aud. 5). Ainsi, il ressort du dossier que les policiers avaient à plusieurs reprises demandé à T.________ de les suivre avant de faire usage des menottes et qu’ils l’avaient avertie qu’ils pouvaient agir de la sorte en cas de refus. On relève également que lors de cet échange, la plaignante est devenue hystérique et criait très fort, alors que selon le témoin K.________, les policiers ont quant à eux simplement « fait leur travail », sans relever d’agressivité particulière de la part de ceux-ci (PV aud. 4). 3.3 La coercition physique exercée contre l’intéressée était proportionnée aux circonstances, dans la mesure où elle était strictement limitée à l’entrave qui, seule, au vu de l’attitude oppositionnelle, permettait d’acheminer T.________ en véhicule à l’Hôtel de police. Le comportement des policiers, couvert par l’art. 14 CP, est ainsi licite au regard de cette disposition. Il s’ensuit qu’aucune infraction pénale ne peut leur être reprochée, ni celle de lésions corporelles simples (art. 123 CP), ni, par identité de motifs, celle d’abus d’autorité (art. 312 CP). Aucune mesure d’instruction complémentaire n’apparaît de nature à mener à une autre appréciation. Dans ces conditions, en cas de mise en accusation de l’un ou l’autre des gendarmes intervenus lors de</w:t>
      </w:r>
    </w:p>
    <w:p>
      <w:r>
        <w:t>- 7 - l’interpellation d’T.________ le 1er mars 2013, un prononcé libératoire apparaît beaucoup plus vraisemblable qu’une condamnation. 4. Il résulte de ce qui précède que le recours doit être rejeté et l’ordonnance attaquée confirmée. Vu l’octroi à la recourante de l’assistance judiciaire comprenant l’exonération des frais de procédure (art. 136 al. 2 let. b CPP) et l’assistance d’un conseil juridique gratuit (art. 136 al. 2 let. b CPP) indemnisé conformément à l’art. 135 al. 1 CPP (applicable par analogie en vertu du renvoi de l’art. 138 al. 1 CPP), les frais de la procédure de recours – constitués en l’espèce de l’émolument d’arrêt, par 770 fr. (art. 20 al. 1 TFIP [tarif des frais de procédure et indemnités en matière pénale; RSV 312.03.1]) et des frais imputables à l’assistance judiciaire gratuite (art. 422 al. 1 et 2 let. a CPP), fixés à 270 fr., plus la TVA, par 21 fr. 60, soit au total 291 fr. 60 ne peuvent être mis à la charge de la recourante qui succombe (art. 428 al. 1 CPP), mais doivent être provisoirement laissés à la charge de l’Etat (Mazzuchelli/Postizzi, in : Niggli/Heer/Wiprächtiger [éd.], Basler Kommentar, Schweizerische Strafprozess-ordnung, Jugendstrafprozessordnung, 2e éd., Bâle 2014, art. 1-195 StPO, n. 4 ad art. 138 CPP; Harari/Corminboeuf, in : Kuhn/ Jeanneret [éd.], Code de procédure pénale suisse, Commentaire romand, Bâle 2011, n. 51 ad art. 136 CPP; CREP 9 juillet 2013/652 c. 2). La recourante est toutefois tenue de rembourser ces frais à l’Etat dès que sa situation financière le permettra (art. 135 al. 4 et 138 al. 1 CPP; Mazzuchelli/Postizzi, op. cit., ibid.; Harari/Corminboeuf, op. cit., n. 11 ad art. 138 CPP; CREP, arrêt précité, ibid.). Par ces motifs, la Chambre des recours pénale prononce : I. Le recours est rejeté. II. L’ordonnance du 18 mars 2015 est confirmée.</w:t>
      </w:r>
    </w:p>
    <w:p>
      <w:r>
        <w:t>- 8 - III. L’indemnité allouée au conseil juridique gratuit d’T.________ est fixée à 291 fr. 60 (deux cent nonante et un francs et soixante centimes). IV. Les frais d’arrêt, par 770 fr. (sept cent septante francs), ainsi que l’indemnité allouée au conseil juridique gratuit de la recourante, fixée au chiffre III ci-dessus, sont provisoirement laissés à la charge de l’Etat. V. La recourante est tenue de rembourser à l’Etat l’indemnité allouée au chiffre III ci-dessus, ainsi que les frais fixés au chiffre IV, dès que sa situation financière le permettra. VI. Le présent arrêt est exécutoire. Le président: La greffière: Du Le présent arrêt, dont la rédaction a été approuvée à huis clos, est notifié, par l'envoi d'une copie complète, à : - M. Paul-Arthur Treyvaud, avocat (pour T.________),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- 9 - En vertu de l’art. 135 al. 3 let. b CPP, applicable par analogie en vertu du renvoi de l’art. 138 al. 1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