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PE14.006615 vom 19. August 2019</w:t>
      </w:r>
    </w:p>
    <w:p>
      <w:r>
        <w:t>VD Tribunal cantonal, 2019-08-19, FR</w:t>
      </w:r>
    </w:p>
    <w:p>
      <w:r>
        <w:rPr>
          <w:b/>
        </w:rPr>
        <w:t xml:space="preserve">Quelle: </w:t>
      </w:r>
      <w:r>
        <w:t>https://mcp.opencaselaw.ch/entscheid/vd_gerichte_PE14.006615</w:t>
      </w:r>
    </w:p>
    <w:p>
      <w:r>
        <w:t>FR: VD_GERICHTE PE14.006615 du 19 août 2019</w:t>
      </w:r>
    </w:p>
    <w:p>
      <w:r>
        <w:t>IT: VD_GERICHTE PE14.006615 del 19 agosto 2019</w:t>
      </w:r>
    </w:p>
    <w:p>
      <w:pPr>
        <w:pStyle w:val="Heading2"/>
      </w:pPr>
      <w:r>
        <w:t>Erwägungen</w:t>
      </w:r>
    </w:p>
    <w:p>
      <w:r>
        <w:rPr>
          <w:b/>
        </w:rPr>
        <w:t>E. 6</w:t>
      </w:r>
    </w:p>
    <w:p>
      <w:r>
        <w:t>L'appelant invoque une violation des art. 42 et 43 CP. Il estime que les premiers juges auraient dû lui accorder un sursis complet, le pronostic quant à son comportement futur n'étant, selon lui, pas défavorable. Il fait en outre valoir que les premiers juges lui ont accordé le sursis s'agissant de la peine pécuniaire.</w:t>
      </w:r>
    </w:p>
    <w:p>
      <w:r>
        <w:rPr>
          <w:b/>
        </w:rPr>
        <w:t>E. 6.1</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w:t>
      </w:r>
    </w:p>
    <w:p>
      <w:r>
        <w:t>- 39 -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Le juge dispose d'un large pouvoir d'appréciation en la matière (ATF 134 IV 1 consid. 5.2; TF 6B_392/2016 du 10 novembre 2016).De jurisprudence constante, les conditions subjectives auxquelles l'art. 42 CP soumet l'octroi du sursis intégral s'appliquent également à l'octroi du sursis partiel prévu à l'art. 43 CP (ATF 139 IV 270 consid. 3.3; ATF 134 IV 1 consid. 5.3.1).</w:t>
      </w:r>
    </w:p>
    <w:p>
      <w:r>
        <w:t>- 40 - L'art. 42 CP a été modifié avec effet au 1er janvier 2018.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le sursis reste la règle, et le sursis partiel l'exception (Cuendet/ Genton, La fixation de la peine et le sursis à l'aune du nouveau droit des sanctions, in: Forumpoenale 5/2017 p. 328; CAPE 8 février 2018/32 consid. 5.2.1 in fine). L'ancien droit des sanctions n’étant ainsi pas plus favorable dans le cas particulier, le nouveau droit sera appliqué.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6.2</w:t>
      </w:r>
    </w:p>
    <w:p>
      <w:r>
        <w:t>En l'occurrence, la quotité de la peine privative de liberté infligée dépasse 24 mois, ce qui exclut l'octroi d'un plein sursis. Reste à examiner la question du sursis partiel.</w:t>
      </w:r>
    </w:p>
    <w:p>
      <w:r>
        <w:t>- 41 - On peut sérieusement douter des perspectives d'amendement de l'appelant, au vu de ses antécédents et du nombre considérable et de la variété des infractions commises dans la présente procédure, dénotant une complète amoralité et une propension marquée à bafouer systématiquement la loi pénale durant des années s'il y trouvait un quelconque avantage, plus particulièrement patrimonial. Si le Tribunal correctionnel a posé un pronostic mitigé, il a tenu compte de l'effet de choc qu'entraînera l'exécution d'une partie de la peine privative de liberté, soit 15 mois sur les 30 mois infligés. Les pièces produites par le prévenu lors des débats d'appel, censées démontrer que celui-ci a, en 2019, gagné sa vie sans violer la loi par le biais de son activité au sein de l'entreprise [...] dont il est administrateur, ne sauraient permettre, à elles seules, de revenir sur le pronostic mitigé posé à juste titre par les premiers juges. A l'instar du Tribunal correctionnel, la Cour de céans veut croire que l'octroi du sursis partiel portant sur la moitié de la peine, assorti d'un long délai d'épreuve, sera susceptible de détourner l'appelant de commettre de nouvelles infractions. Ne pas confirmer l'appréciation des premiers juges sur ce point constituerait au demeurant une reformatio in pejus prohibée. Compte tenu de la révocation des sursis accordés le 19 août 2014 par le Ministère public du canton de Fribourg et le 12 novembre 2014 par le Ministère public du canton du Jura, l'octroi d'un plein sursis pour la peine pécuniaire infligée au prévenu se justifie. On ne saurait dès lors y voir un manque de cohérence conduisant à revoir, dans son principe ou sa quotité, le sursis partiel portant sur la peine privative de liberté.</w:t>
      </w:r>
    </w:p>
    <w:p>
      <w:r>
        <w:rPr>
          <w:b/>
        </w:rPr>
        <w:t>E. 7</w:t>
      </w:r>
    </w:p>
    <w:p>
      <w:r>
        <w:t>En conclusion, l’appel de Q.________ doit être rejeté et le jugement attaqué confirmé. Selon la liste d’opérations produite par Me Fabien Mingard, dont il n’y a pas lieu de s’écarter, hormis l'ajout d'une heure pour l'audience d'appel, une indemnité d’un montant de 1'905 fr. sera allouée, correspondant à 10 heures 35 d’activité d’avocat breveté, plus une</w:t>
      </w:r>
    </w:p>
    <w:p>
      <w:r>
        <w:t>- 42 - vacation à 120 fr., plus 38 fr. 10 de débours (2% des honoraires), plus 158 fr. 85 de TVA, de sorte que l'indemnité de défenseur d’office de Q.________ pour la procédure d’appel s'élève au total à 2'221 fr. 95. Vu l’issue de la cause, les frais de la procédure d’appel, par 6'551 fr. 95, constitués de l’émolument de jugement, par 4'330 fr. (art. 21 al. 1 et 2 TFIP [Tarif des frais de procédure et indemnités en matière pénale du 28 septembre 2010; BLV 312.03.1]), et de l’indemnité allouée à son défenseur d’office, par 2'221 fr. 95, seront mis à la charge de Q.________, qui succombe (art. 428 al. 1CPP). Q.________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