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PE14.004839 vom 20. September 2018</w:t>
      </w:r>
    </w:p>
    <w:p>
      <w:r>
        <w:t>VD Tribunal cantonal, 2018-09-20, FR</w:t>
      </w:r>
    </w:p>
    <w:p>
      <w:r>
        <w:rPr>
          <w:b/>
        </w:rPr>
        <w:t xml:space="preserve">Quelle: </w:t>
      </w:r>
      <w:r>
        <w:t>https://mcp.opencaselaw.ch/entscheid/vd_gerichte_PE14.004839</w:t>
      </w:r>
    </w:p>
    <w:p>
      <w:r>
        <w:t>FR: VD_GERICHTE PE14.004839 du 20 septembre 2018</w:t>
      </w:r>
    </w:p>
    <w:p>
      <w:r>
        <w:t>IT: VD_GERICHTE PE14.004839 del 20 settembre 2018</w:t>
      </w:r>
    </w:p>
    <w:p>
      <w:pPr>
        <w:pStyle w:val="Heading2"/>
      </w:pPr>
      <w:r>
        <w:t>Erwägungen</w:t>
      </w:r>
    </w:p>
    <w:p>
      <w:r>
        <w:rPr>
          <w:b/>
        </w:rPr>
        <w:t>E. 1.1</w:t>
      </w:r>
    </w:p>
    <w:p>
      <w:r>
        <w:t>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[Code de procédure pénale suisse du 5 octobre 2007 ; RS 312.0]). Dans cette hypothèse, la demande de révision n'est soumise à aucun délai (art. 411 al. 2, 2e phrase, CPP).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[ci-après : Message], FF 2006 II 1057 ss, spéc. 1303 ; TF 6B_310/2011 du 20 juin 2011 consid. 1.2). Les faits ou moyens de preuve sont nouveaux lorsque le juge n'en a pas eu connaissance au moment où il s'est prononcé, c'est-à-dire lorsqu'ils ne lui ont pas été soumis sous quelque forme que ce soit (ATF 137 IV 59 consid. 5.1.2). Ils sont sérieux lorsqu'ils sont propres à ébranler les constatations de fait sur lesquelles se fonde la condamnation et que l'état de fait ainsi modifié rend possible un jugement sensiblement plus favorable au</w:t>
      </w:r>
    </w:p>
    <w:p>
      <w:r>
        <w:t>- 5 - condamné (ATF 137 IV 59 consid. 5.1.4 ; ATF 130 IV 72 consid. 1 ; TF 6B_426/2018 du 5 juillet 2018 consid. 3.2). Par fait, on entend les circonstances susceptibles d’être prises en considération dans l’état de fait qui fonde le jugement (ATF 141 IV 93 consid. 2.3). Le fait invoqué devait déjà exister avant l’entrée en force du premier jugement ; un fait postérieur à ce moment ne saurait entrer en considération (ATF 141 IV 349 consid. 2.2 ; TF 6B_836/2016 du 7 mars 2017 consid. 1.3.2 ; Message, p. 1304).</w:t>
      </w:r>
    </w:p>
    <w:p>
      <w:r>
        <w:rPr>
          <w:b/>
        </w:rPr>
        <w:t>E. 1.2</w:t>
      </w:r>
    </w:p>
    <w:p>
      <w:r>
        <w:t>Pour être valides en la forme, les demandes de révision doivent être motivées et adressées par écrit à la juridiction d'appel, les motifs de révision devant être exposés et justifiés dans la demande (art. 411 al. 1 CPP ; Heer, in : Niggli/Heer/ Wiprächtiger [éd.], Basler Kommentar, Schweizerische Strafprozessordnung, Jugendstrafprozessordnung, 2e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in : Jeanneret/Kuhn/ Perrier Depeursinge [éd.], Commentaire romand, Code de procédure pénale suisse, 2e éd., Bâle 2019,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w:t>
      </w:r>
    </w:p>
    <w:p>
      <w:r>
        <w:rPr>
          <w:b/>
        </w:rPr>
        <w:t>E. 1.3</w:t>
      </w:r>
    </w:p>
    <w:p>
      <w:r>
        <w:t>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w:t>
      </w:r>
    </w:p>
    <w:p>
      <w:r>
        <w:t>- 6 - apparaissent d'emblée non vraisemblables ou mal fondés (ATF 143 IV 122 consid. 3.5) ou encore lorsque la demande de révision apparaît abusive (TF 6B_882/2017 du 23 mars 2018 consid. 1.1). L'examen préalable de la demande de révision relève de la procédure écrite (art. 412 al. 1 CPP).</w:t>
      </w:r>
    </w:p>
    <w:p>
      <w:r>
        <w:rPr>
          <w:b/>
        </w:rPr>
        <w:t>E. 2</w:t>
      </w:r>
    </w:p>
    <w:p>
      <w:r>
        <w:t>En l’espèce, C.________ se prévaut du fait que depuis le jugement rendu dans la cause PE14.004839, ordonnant notamment son expulsion, son fils serait revenu en Suisse pour poursuivre ses études et vivre auprès de lui et qu’il serait en contact avec la mère de celui-ci pour organiser une garde partagée. Il demande ainsi que la décision d’expulsion soit réexaminée à l’aune de ce changement de situation. Cela étant, le fait invoqué par le requérant, entièrement postérieur à l’entrée en force du jugement, ne saurait entrer en ligne de compte comme un motif recevable de révision. C.________ n’invoque par ailleurs aucun autre fait ni moyen de preuve nouveau et sérieux pouvant rendre vraisemblable l’existence d’un tel motif.</w:t>
      </w:r>
    </w:p>
    <w:p>
      <w:r>
        <w:rPr>
          <w:b/>
        </w:rPr>
        <w:t>E. 3</w:t>
      </w:r>
    </w:p>
    <w:p>
      <w:r>
        <w:t>Il résulte de ce qui précède que la demande de révision, qui apparaît d’emblée manifestement mal fondée, doit être déclarée irrecevable, sans autre échange d’écritures (art. 412 al. 2 et 3 CPP). Les frais de la procédure de révision, par 550 fr. (art. 21 al. 1 et 22 TFIP [Tarif des frais de procédure et indemnités en matière pénale du 28 septembre 2010 ; BLV 312.03.1]), seront mis à la charge du requérant, qui succombe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