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PE14.004155 vom 10. Juli 2014</w:t>
      </w:r>
    </w:p>
    <w:p>
      <w:r>
        <w:t>VD Tribunal cantonal, 2014-07-10, FR</w:t>
      </w:r>
    </w:p>
    <w:p>
      <w:r>
        <w:rPr>
          <w:b/>
        </w:rPr>
        <w:t xml:space="preserve">Quelle: </w:t>
      </w:r>
      <w:r>
        <w:t>https://mcp.opencaselaw.ch/entscheid/vd_gerichte_PE14.004155</w:t>
      </w:r>
    </w:p>
    <w:p>
      <w:r>
        <w:t>FR: VD_GERICHTE PE14.004155 du 10 juillet 2014</w:t>
      </w:r>
    </w:p>
    <w:p>
      <w:r>
        <w:t>IT: VD_GERICHTE PE14.004155 del 10 luglio 2014</w:t>
      </w:r>
    </w:p>
    <w:p>
      <w:pPr>
        <w:pStyle w:val="Heading2"/>
      </w:pPr>
      <w:r>
        <w:t>Erwägungen</w:t>
      </w:r>
    </w:p>
    <w:p>
      <w:r>
        <w:rPr>
          <w:b/>
        </w:rPr>
        <w:t>E. 1</w:t>
      </w:r>
    </w:p>
    <w:p>
      <w:r>
        <w:t>Ressortissant italien, H.________ est né le [...] 1971 à [...].</w:t>
      </w:r>
    </w:p>
    <w:p>
      <w:r>
        <w:t>- 7 - A son casier judiciaire figurent les deux inscriptions suivantes : - 23.11.2007, Tribunal correctionnel de Lausanne, délit et contravention à la loi fédérale sur les stupéfiants, travail d’intérêt général 240 heures, sursis et délai d’épreuve 3 ans, amende 300 francs ; - 18.02.2013, Ministère public de l’arrondissement du Nord vaudois, violation grave des règles de la circulation routière, 96 jours- amende à 40 fr., sursis et délai d’épreuve 2 ans, amende 960 francs.</w:t>
      </w:r>
    </w:p>
    <w:p>
      <w:r>
        <w:rPr>
          <w:b/>
        </w:rPr>
        <w:t>E. 1.1</w:t>
      </w:r>
    </w:p>
    <w:p>
      <w:r>
        <w:t>Interjeté dans les formes et délai légaux (art. 399 CPP) par une partie ayant la qualité pour recourir contre le jugement d’un tribunal de</w:t>
      </w:r>
    </w:p>
    <w:p>
      <w:r>
        <w:t>- 8 - première instance ayant clos la procédure (art. 398 al. 1 CPP), l’appel de H.________ est recevable.</w:t>
      </w:r>
    </w:p>
    <w:p>
      <w:r>
        <w:rPr>
          <w:b/>
        </w:rPr>
        <w:t>E. 1.2</w:t>
      </w:r>
    </w:p>
    <w:p>
      <w:r>
        <w:t>S'agissant d'un appel dirigé contre une contravention, la cause ressort de la compétence d'un juge unique (art. 14 al. 3 LVCPP [Loi vaudoise d'introduction du Code de procédure pénale suisse du 19 mai 2009;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 En l’espèce, l’appelant a requis qu’une expertise graphologique de la signature figurant au pied la dénonciation qui l’accable soit mise en œuvre et qu’il soit procédé à l’audition de la mère de sa fille, Madame [...], ainsi que de Y.________. Toutefois, seule une contravention à la loi fédérale sur les stupéfiants fait l’objet de la procédure de première instance. L’appel est donc restreint. Pour ce motif, les mesures d’instruction requises doivent être rejetées. Elles n’apparaissent au demeurant pas déterminantes pour les raisons qui seront développées ci-dessous. 2. L’appelant invoque une constatation manifestement inexacte des faits.</w:t>
      </w:r>
    </w:p>
    <w:p>
      <w:r>
        <w:rPr>
          <w:b/>
        </w:rPr>
        <w:t>E. 2</w:t>
      </w:r>
    </w:p>
    <w:p>
      <w:r>
        <w:t>A Lausanne, le 25 septembre 2013, H.________ a acquis une boulette de cocaïne auprès de Y.________ pour la somme de 23 fr., avant de la consommer. Afin d’effectuer cette transaction, l’appelant a pris en charge Y.________ dans sa voiture sur la place du Tunnel pour le déposer plus loin sur le chemin des Bégonias (cf. rapport de dénonciation du 25 septembre 2013 et P. 17).</w:t>
      </w:r>
    </w:p>
    <w:p>
      <w:r>
        <w:rPr>
          <w:b/>
        </w:rPr>
        <w:t>E. 2.1</w:t>
      </w:r>
    </w:p>
    <w:p>
      <w:r>
        <w:t>Comme indiqué précédemment, en cas d’appel restreint, le pouvoir d’examen de l’autorité d’appel est limité dans l’appréciation des faits à ce qui a été établi de manière arbitraire, la formulation de l’art. 398</w:t>
      </w:r>
    </w:p>
    <w:p>
      <w:r>
        <w:t>- 9 - al. 4 CPP correspondant à celle de l’art. 97 al. 1 LTF (Loi sur le Tribunal fédéral du 17 juin 2005 ; RS 173.110) (TF 6B_1247/2013 du 13 mars 2014 c. 1.2 ; TF 6B_362/2012 du 29 octobre 2012 c. 5.2 et les références citées). En revanche, la juridiction d’appel peut revoir librement le droit (Kistler Vianin, op. cit., n. 25 ad art. 398 CPP).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(ATF 138 III 378 c. 6.1 et les références citées ; TF 6B_678/2014 du 2 octobre 2014 c. 4.1).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(TF 6B_678/2014 du 2 octobre 2014 c. 4.1 et les références citées ; TF 6B_367/2014 du 8 septembre 2014).</w:t>
      </w:r>
    </w:p>
    <w:p>
      <w:r>
        <w:rPr>
          <w:b/>
        </w:rPr>
        <w:t>E. 2.2.1</w:t>
      </w:r>
    </w:p>
    <w:p>
      <w:r>
        <w:t>L’appelant soutient que c’est à tort que le premier juge aurait retenu la version des faits présentée par ses dénonciateurs, les inspecteurs P.________ et W.________. Il affirme, en substance, que ce ne serait pas lui qui aurait pris en charge Y.________ dans son véhicule, ni lui qui aurait ouvert la porte aux policiers et encore moins lui qui aurait signé le formulaire de dénonciation simplifiée, dès lors qu’il gardait sa fille lourdement handicapée le jour en question. L’appelant ajoute que l’inspecteur P.________ n’aurait pas dit la vérité au premier juge en déclarant qu’il avait rempli le formulaire de dénonciation sur la base de</w:t>
      </w:r>
    </w:p>
    <w:p>
      <w:r>
        <w:t>- 10 - son permis de séjour, puisque les indications qui y figurent ne permettent pas de le faire.</w:t>
      </w:r>
    </w:p>
    <w:p>
      <w:r>
        <w:rPr>
          <w:b/>
        </w:rPr>
        <w:t>E. 2.2.2</w:t>
      </w:r>
    </w:p>
    <w:p>
      <w:r>
        <w:t>Confronté à deux versions irrémédiablement contradictoires, le premier juge a considéré qu’il n’était pas concevable que deux policiers assermentés aient comploté contre le prévenu, ce d’autant plus que l’affaire portait sur une simple contravention à la loi fédérale sur les stupéfiants. Il a relevé également que la version des agents n’avait pas varié, qu’ils ne connaissaient pas le prévenu jusque là et qu’ils l’avaient clairement reconnu comme étant la personne qu’ils avaient interpellée.</w:t>
      </w:r>
    </w:p>
    <w:p>
      <w:r>
        <w:rPr>
          <w:b/>
        </w:rPr>
        <w:t>E. 2.2.3</w:t>
      </w:r>
    </w:p>
    <w:p>
      <w:r>
        <w:t>Cette appréciation des faits est en l’occurrence conforme aux pièces du dossier et ne prête pas le flanc à la critique. Elle est confortée par le rapport établi le 25 septembre 2013 à la suite de l’interpellation de Y.________. L’appelant, qui s’évertue à affirmer de manière appellatoire que ce n’est pas lui qui aurait été interpellé, ne démontre pas en quoi le raisonnement du premier juge serait entaché d’arbitraire. Les témoignages des agents sont concordants, constants et précis. Tous deux ont reconnu le prévenu et affirmé qu’il s’était légitimé en produisant son permis d’établissement. S’il est correct que la filiation du prévenu et le nom de son épouse ne figurent pas sur ce document, il n’en demeure pas moins que ces deux informations ont été correctement communiquées à l’inspecteur P.________ pour compléter le formulaire de dénonciation litigieux, ce qui tend à exclure qu’il y ait eu erreur sur la personne et à confirmer – comme l’agent l’a expliqué – que le prévenu lui a prêté son concours pour le faire (cf. jugement p. 3, ligne 13). Contrairement à ce que soutient l’appelant, le témoignage de cet agent, déposé presque une année après les faits, ne remet pas en cause le raisonnement du premier juge. Le fait que l’adresse indiquée sur la dénonciation simplifiée soit celle de son entreprise et non celle figurant sur son permis d’établissement n’est également pas pertinent. Cela étant, l’appelant n’apporte aucun élément de réponse sur les trop nombreuses coïncidences qui auraient conduit des agents du groupe CELTUS – spécialisés dans la lutte contre le trafic de rue – à</w:t>
      </w:r>
    </w:p>
    <w:p>
      <w:r>
        <w:t>- 11 - observer un trafiquant de drogue monter à bord de son véhicule, à suivre cette voiture dans les rues de Lausanne jusqu’à la porte de son domicile professionnel, avant de l’identifier sur la base d’un document établi à son nom et de retranscrire correctement sa filiation sur un formulaire. L’appelant a déclaré qu’il n’avait pas d’employé et qu’il ne donnait pas les clés de son bureau lorsqu’il prêtait sa voiture, ce qui est incompatible avec les faits qui précèdent (cf. jugement p. 3, ligne 10). A cela s’ajoutent ses antécédents en matière de consommation de stupéfiants, soit la condamnation qui figure dans son casier judiciaire et les huit dénonciations dont il a fait l’objet entre 1994 et 2011 (cf. rapport de dénonciation du 25 septembre 2013 in fine). On relèvera au passage que l’appelant fait l’objet d’une procédure administrative pour avoir été interpellé alors qu’il était sous le coup d’un retrait de permis de conduire, procédure qui est suspendue dans l’attente de l’issue de la présente affaire (cf. rapport de dénonciation du 25 septembre 2013 et P. 6). Dans ses circonstances, c’est à juste titre que le premier juge n’a accordé aucun crédit aux déclarations du prévenu. Les mesures d’instruction requises n’auraient pas permis de renverser cette appréciation. En effet, une expertise graphologique de la signature litigieuse n’aurait pas été déterminante puisque qu’elle aurait porté sur un élément qui n’a aucune pertinence dans le cas d’espèce. L’audition de Y.________, à supposer qu’elle eût été encore possible dans la mesure où il est sans domicile fixe et qu’il fait l’objet d’une interdiction d’entrée en Suisse, n’aurait apporté aucun élément qui ne figurerait pas déjà dans le rapport d’intervention versé au dossier en procédure d’appel. En outre, sa confrontation avec l’appelant n’aurait pas été de nature à ébranler la conviction du juge de céans. Enfin, Madame [...] n’aurait pas pu confirmer que l’appelant s’occupait bien lui-même de leur fille au moment des faits, puisqu’elle n’était pas présente. Au vu de ce qui précède, la condamnation de l’appelant pour contravention à la loi fédérale sur les stupéfiants doit être confirmée.</w:t>
      </w:r>
    </w:p>
    <w:p>
      <w:r>
        <w:t>- 12 -</w:t>
      </w:r>
    </w:p>
    <w:p>
      <w:r>
        <w:rPr>
          <w:b/>
        </w:rPr>
        <w:t>E. 3</w:t>
      </w:r>
    </w:p>
    <w:p>
      <w:r>
        <w:t>En définitive, l’appel doit être rejeté et le jugement du 10 juillet 2014 intégralement confirmé.</w:t>
      </w:r>
    </w:p>
    <w:p>
      <w:r>
        <w:rPr>
          <w:b/>
        </w:rPr>
        <w:t>E. 4</w:t>
      </w:r>
    </w:p>
    <w:p>
      <w:r>
        <w:t>Vu l’issue de la cause, les frais d’appel, constitués en l’espèce de l’émolument d’arrêt, par 1'030 fr., doivent être mis à la charge de H.________,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