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PE14.004103 vom 12. Februar 2015</w:t>
      </w:r>
    </w:p>
    <w:p>
      <w:r>
        <w:t>VD Tribunal cantonal, 2015-02-12, FR</w:t>
      </w:r>
    </w:p>
    <w:p>
      <w:r>
        <w:rPr>
          <w:b/>
        </w:rPr>
        <w:t xml:space="preserve">Quelle: </w:t>
      </w:r>
      <w:r>
        <w:t>https://mcp.opencaselaw.ch/entscheid/vd_gerichte_PE14.004103</w:t>
      </w:r>
    </w:p>
    <w:p>
      <w:r>
        <w:t>FR: VD_GERICHTE PE14.004103 du 12 février 2015</w:t>
      </w:r>
    </w:p>
    <w:p>
      <w:r>
        <w:t>IT: VD_GERICHTE PE14.004103 del 12 febbraio 2015</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- 4 -</w:t>
      </w:r>
    </w:p>
    <w:p>
      <w:r>
        <w:rPr>
          <w:b/>
        </w:rPr>
        <w:t>E. 2.1</w:t>
      </w:r>
    </w:p>
    <w:p>
      <w:r>
        <w:t>Le recourant conteste l’existence de soupçons de culpabilité suffisants pour les cas de vol qui lui sont reprochés. Selon lui, il en existerait seulement pour un vol et uniquement à titre de complicité.</w:t>
      </w:r>
    </w:p>
    <w:p>
      <w:r>
        <w:rPr>
          <w:b/>
        </w:rPr>
        <w:t>E. 2.2</w:t>
      </w:r>
    </w:p>
    <w:p>
      <w:r>
        <w:t>En l’espèce, le recourant est notamment mis en cause pour trois cas de cambriolages dans le canton de Vaud. Pour au moins l’un de ces cas, il a été confondu par des analyses ADN. Il existe ainsi des soupçons suffisants pour fonder une détention pour des motifs de sûreté.</w:t>
      </w:r>
    </w:p>
    <w:p>
      <w:r>
        <w:rPr>
          <w:b/>
        </w:rPr>
        <w:t>E. 3</w:t>
      </w:r>
    </w:p>
    <w:p>
      <w:r>
        <w:t>Le recourant conteste l’existence d’un risque de fuite et s’engage à se présenter à l’audience de jugement.</w:t>
      </w:r>
    </w:p>
    <w:p>
      <w:r>
        <w:rPr>
          <w:b/>
        </w:rPr>
        <w:t>E. 3.1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w:t>
      </w:r>
    </w:p>
    <w:p>
      <w:r>
        <w:rPr>
          <w:b/>
        </w:rPr>
        <w:t>E. 3.2</w:t>
      </w:r>
    </w:p>
    <w:p>
      <w:r>
        <w:t>En l’espèce, il existe un risque de fuite concret. Le recourant, d’origine serbe, est domicilié en Belgique et ne peut se prévaloir d’aucune attache avec la Suisse. Compte tenu des charges qui pèsent contre lui et de la peine à laquelle il s'expose en cas de condamnation, il y a fort à craindre qu'il tente de se soustraire aux conséquences pénales de ses</w:t>
      </w:r>
    </w:p>
    <w:p>
      <w:r>
        <w:t>- 6 - actes en se réfugiant à l’étranger ou en disparaissant dans la clandestinité. Le risque de fuite est dès lors réalisé. Au surplus, le fait que le recourant s’engage à se présenter à l’audience ne suffit pas à garantir réellement sa présence devant ses juges. Aucune mesure de substitution n’est susceptible de pallier ce risque.</w:t>
      </w:r>
    </w:p>
    <w:p>
      <w:r>
        <w:rPr>
          <w:b/>
        </w:rPr>
        <w:t>E. 4</w:t>
      </w:r>
    </w:p>
    <w:p>
      <w:r>
        <w:t>Le recourant conteste également l’existence d’un risque de réitération malgré qu’il ait déjà été condamné à l’étranger pour vol. Il soutient en outre que le vol ne serait pas un délit grave de nature à compromettre sérieusement la sécurité d’autrui.</w:t>
      </w:r>
    </w:p>
    <w:p>
      <w:r>
        <w:rPr>
          <w:b/>
        </w:rPr>
        <w:t>E. 4.1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op. cit., n. 20 ad art. 221 CPP). La prévention du risque de récidive doit permettre de faire prévaloir l'intérêt à la sécurité publique sur la liberté personnelle du prévenu (ATF 137 IV 13 c. 4.5).</w:t>
      </w:r>
    </w:p>
    <w:p>
      <w:r>
        <w:rPr>
          <w:b/>
        </w:rPr>
        <w:t>E. 4.2</w:t>
      </w:r>
    </w:p>
    <w:p>
      <w:r>
        <w:t>En l’espèce, le recourant a déjà été condamné par les autorités belges, en 2012, pour vol par effraction à une peine d’emprisonnement d’un an avec sursis pendant trois ans pour 2/3. Par ailleurs, il convient encore de tenir compte de la situation personnelle du recourant, qui est</w:t>
      </w:r>
    </w:p>
    <w:p>
      <w:r>
        <w:t>- 7 - sans emploi en Suisse. Il est donc à craindre que, remis en liberté, le recourant ne commette des infractions du même genre que celles qui lui valent les présentes poursuites. Enfin, le recourant minimise ses agissements en affirmant « qu’il ne s’agit pas d’un délit grave ». Or, selon la jurisprudence, les infractions contre le patrimoine dont la réitération est redoutée en l'espèce, soit les vols avec effraction, compromettent sérieusement la sécurité d’autrui au sens de l’art. 221 al. 1 let. c CPP (TF 1B_344/2012 du 19 juin 2012 c. 3.2 ; cf. Rapport explicatif relatif à l'avant-projet d'un code de procédure pénale suisse, Office fédéral de la justice, Berne, juin 2001, ad art. 234 AP, p. 160 ; Schmid, Handbuch des schweizerischen Strafrechts, Zurich/St-Gall 2009, n. 1024 ; CREP 18 septembre 2012/552 et 24 avril 2012/179). Au vu de ces différents éléments, on doit considérer que le risque de récidive est manifestement réalisé.</w:t>
      </w:r>
    </w:p>
    <w:p>
      <w:r>
        <w:rPr>
          <w:b/>
        </w:rPr>
        <w:t>E. 5</w:t>
      </w:r>
    </w:p>
    <w:p>
      <w:r>
        <w:t>Le recourant invoque une violation du principe de la proportionnalité.</w:t>
      </w:r>
    </w:p>
    <w:p>
      <w:r>
        <w:rPr>
          <w:b/>
        </w:rPr>
        <w:t>E. 5.1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5.2</w:t>
      </w:r>
    </w:p>
    <w:p>
      <w:r>
        <w:t>Le 20 mai 2015, date fixée pour l’audience de jugement, K.________ aura été détenu pendant un peu plus de six mois. Compte tenu de ses antécédents et des charges qui pèsent sur lui, il s'expose à une peine privative de liberté d’une durée supérieure à celle de la détention</w:t>
      </w:r>
    </w:p>
    <w:p>
      <w:r>
        <w:t>- 8 - qu’il aura subie au moment du jugement. Le principe de la proportionnalité, sous l’angle de la durée de la détention avant jugement (art. 212 al. 3 CPP), est donc respecté.</w:t>
      </w:r>
    </w:p>
    <w:p>
      <w:r>
        <w:rPr>
          <w:b/>
        </w:rPr>
        <w:t>E. 6</w:t>
      </w:r>
    </w:p>
    <w:p>
      <w:r>
        <w:t>À l’appui de son recours, K.________ a produit un certificat médical attestant qu’il présenterait une maladie chronique grave et nécessiterait un suivi régulier chez un gastro-entérologue. Ce certificat n’établit toutefois pas que sa maladie entraînerait une incapacité complète de subir une détention provisoire ni qu’elle nécessiterait un traitement médical non compatible avec une incarcération (cf. TF 6B_511/2013 du 17 septembre 2013 ; CREP 9 janvier 2014/5). Il faudra néanmoins que le Service de médecine et psychiatrie pénitentiaires suive de près l’état de santé du recourant.</w:t>
      </w:r>
    </w:p>
    <w:p>
      <w:r>
        <w:rPr>
          <w:b/>
        </w:rPr>
        <w:t>E. 7</w:t>
      </w:r>
    </w:p>
    <w:p>
      <w:r>
        <w:t>En définitive, le recours se révèle manifestement mal fondé, de sorte qu'il doit être rejeté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270 fr., plus la TVA par 21 fr. 60, soit 291 fr. 60 au total, seront mis à la charge du recourant, qui succombe (art. 428 al. 1 CPP). Le remboursement à l'Etat de l'indemnité allouée au défenseur d'office de K.________ ne sera toutefois exigible que pour autant que la situation économique de ce dernier se soit améliorée (art. 135 al. 4 CPP). Par ces motifs, la Chambre des recours pénale prononce : I. Le recours est rejeté. II. L’ordonnance du 29 janvier 2015 est confirmée.</w:t>
      </w:r>
    </w:p>
    <w:p>
      <w:r>
        <w:t>- 9 - III. L’indemnité allouée au défenseur d'office de K.________ est fixée à 291 fr. 60 (deux cent nonante et un francs et soixante centimes). IV. Les frais du présent arrêt, par 880 fr. (huit cent huitante francs), ainsi que l’indemnité due au défenseur d’office de K.________, par 291 fr. 60 (deux cent nonante et un francs et soixante centimes), sont mis à la charge de ce dernier. V. Le remboursement à l'Etat de l'indemnité allouée au chiffre III ci-dessus ne sera exigible que pour autant que la situation économique de K.________ se soit améliorée. VI. Le présent arrêt est exécutoire. Le président : La greffière : Du Le présent arrêt, dont la rédaction a été approuvée à huis clos, est notifié, par l'envoi d'une copie complète, à : - Mme Kathrin Gruber, avocate (pour K.________), - Ministère public central ; et communiqué à : - Mme la Présidente du Tribunal des mesures de contrainte, - M. le Procureur de l’arrondissement de La Côte, - M. le Président du Tribunal d’arrondissement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