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PE14.003508 vom 22. August 2016</w:t>
      </w:r>
    </w:p>
    <w:p>
      <w:r>
        <w:t>VD Tribunal cantonal, 2016-08-22, FR</w:t>
      </w:r>
    </w:p>
    <w:p>
      <w:r>
        <w:rPr>
          <w:b/>
        </w:rPr>
        <w:t xml:space="preserve">Quelle: </w:t>
      </w:r>
      <w:r>
        <w:t>https://mcp.opencaselaw.ch/entscheid/vd_gerichte_PE14.003508</w:t>
      </w:r>
    </w:p>
    <w:p>
      <w:r>
        <w:t>FR: VD_GERICHTE PE14.003508 du 22 août 2016</w:t>
      </w:r>
    </w:p>
    <w:p>
      <w:r>
        <w:t>IT: VD_GERICHTE PE14.003508 del 22 agosto 2016</w:t>
      </w:r>
    </w:p>
    <w:p>
      <w:pPr>
        <w:pStyle w:val="Heading2"/>
      </w:pPr>
      <w:r>
        <w:t>Erwägungen</w:t>
      </w:r>
    </w:p>
    <w:p>
      <w:r>
        <w:rPr>
          <w:b/>
        </w:rPr>
        <w:t>E. 4.1</w:t>
      </w:r>
    </w:p>
    <w:p>
      <w:r>
        <w:t>L'appelant fait valoir que lui et X.________ avaient d'un commun accord convenu que le montant de la garantie serait déposé sur un compte ordinaire, les banques refusant d'ouvrir un compte de dépôt.</w:t>
      </w:r>
    </w:p>
    <w:p>
      <w:r>
        <w:rPr>
          <w:b/>
        </w:rPr>
        <w:t>E. 4.2</w:t>
      </w:r>
    </w:p>
    <w:p>
      <w:r>
        <w:t>En vertu de l’art. 1 al. 1 LGBL (Loi vaudoise sur les garanties en matière de baux à loyer du 15 septembre 1971 ; RSV 221.307), le bailleur ou son représentant qui reçoit, à raison du bail, des espèces à titre de garantie doit les déposer dans les 10 jours, sur un livret établi au nom du locataire par un établissement soumis à la loi fédérale sur les banques et les caisses d'épargne, du 8 novembre 1934, ayant son siège ou une agence dans le canton de Vaud, ou par un autre établissement autorisé par le département en charge du logement. Le livret doit être déposé dans l'un de ces établissements.</w:t>
      </w:r>
    </w:p>
    <w:p>
      <w:r>
        <w:t>- 16 - Selon l’art. 4 LGBL, les dispositions prévues dans la loi sont aussi applicables aux garanties fournies par les sous-locataires.</w:t>
      </w:r>
    </w:p>
    <w:p>
      <w:r>
        <w:rPr>
          <w:b/>
        </w:rPr>
        <w:t>E. 4.3</w:t>
      </w:r>
    </w:p>
    <w:p>
      <w:r>
        <w:t>En l’espèce, le prévenu a placé la garantie de loyer versée par X.________ sur un compte appartenant à T.________ Sàrl (P. 6/3, 6/4, 19/0, 19/5, 28). Il allègue que s’il a agi de la sorte c’était en premier lieu d’un commun accord avec X.________ et ensuite parce que les banques avaient refusé d’ouvrir un compte à cet effet au nom du locataire. A nouveau rien au dossier n’indique que X.________ a accepté un tel arrangement et on peine à comprendre pour quel motif un établissement bancaire refuserait d'ouvrir un tel compte. Surtout, X.________ a demandé à son bailleur, le 20 décembre 2013, de lui fournir une attestation certifiant que le montant de la garantie qu’il avait versée avait été placé sur un « compte de loyer ». Ceci établit qu’aucun accord contraire n’avait été passé entre les parties. Dans ces conditions, force est de constater que le prévenu, en ne consignant pas le montant versé par X.________ à titre de garantie de loyers dans un compte prévu à cet effet, s’est rendu coupable de violation de la Loi vaudoise sur les garanties en matière de baux à loyer. Sa condamnation doit ainsi être confirmée. Partant, l’appel de D.________ doit également être rejeté sur ce point.</w:t>
      </w:r>
    </w:p>
    <w:p>
      <w:r>
        <w:rPr>
          <w:b/>
        </w:rPr>
        <w:t>E. 5.1</w:t>
      </w:r>
    </w:p>
    <w:p>
      <w:r>
        <w:t>L'appelant requiert que la peine de 30 jours-amende à 10 fr. le jour prononcée à son endroit soit assortie d'un sursis de deux ans.</w:t>
      </w:r>
    </w:p>
    <w:p>
      <w:r>
        <w:rPr>
          <w:b/>
        </w:rPr>
        <w:t>E. 5.2.1</w:t>
      </w:r>
    </w:p>
    <w:p>
      <w:r>
        <w:t>Selon l’art. 47 al. 1 CP, le juge fixe la peine d’après la culpabilité de l’auteur. Il prend en considération les antécédents et la</w:t>
      </w:r>
    </w:p>
    <w:p>
      <w:r>
        <w:t>- 17 - situation personnelle de ce dernier ainsi que l’effet de la peine sur son avenir.</w:t>
      </w:r>
    </w:p>
    <w:p>
      <w:r>
        <w:rPr>
          <w:b/>
        </w:rPr>
        <w:t>E. 5.2.2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5.3</w:t>
      </w:r>
    </w:p>
    <w:p>
      <w:r>
        <w:t>En l’espèce, l’appelant ne conteste pas formellement la quotité de la peine pécuniaire. Examinée d’office, celle-ci ne prête pas le flanc à la critique et doit être confirmée. Le fait que le prévenu a en fait pénétré illicitement durant une période un peu plus courte que celle constatée par le premier juge ne change rien à la culpabilité dans la mesure où la différence est minime et où la peine prononcée par le premier juge est particulièrement clémente. S’agissant du sursis, seul un pronostic défavorable peut être posé. Le prévenu a en effet de lourds antécédents et il a en outre récidivé dans le même domaine d'infractions. Par ailleurs, il a pénétré à de nombreuses reprises dans les locaux qu’il sous-louait. Seule une peine ferme est de nature à obtenir son amendement.</w:t>
      </w:r>
    </w:p>
    <w:p>
      <w:r>
        <w:rPr>
          <w:b/>
        </w:rPr>
        <w:t>E. 6</w:t>
      </w:r>
    </w:p>
    <w:p>
      <w:r>
        <w:t>- 18 -</w:t>
      </w:r>
    </w:p>
    <w:p>
      <w:r>
        <w:rPr>
          <w:b/>
        </w:rPr>
        <w:t>E. 6.1</w:t>
      </w:r>
    </w:p>
    <w:p>
      <w:r>
        <w:t>L'appelant conteste la quotité de l'amende de 300 fr. prononcée à son égard au motif que celle-ci serait excessive.</w:t>
      </w:r>
    </w:p>
    <w:p>
      <w:r>
        <w:rPr>
          <w:b/>
        </w:rPr>
        <w:t>E. 6.2</w:t>
      </w:r>
    </w:p>
    <w:p>
      <w:r>
        <w:t>En vertu de l’art. 106 al. 3 CP, le juge fixe l'amende et la peine privative de liberté de substitution en tenant compte de la situation de l'auteur afin que la peine corresponde à la faute commise. A teneur de l’art. 5 al. 1 LGBL, celui qui contrevient aux dispositions de cette loi est passible d'une amende pouvant aller jusqu'à 2’000 francs.</w:t>
      </w:r>
    </w:p>
    <w:p>
      <w:r>
        <w:rPr>
          <w:b/>
        </w:rPr>
        <w:t>E. 6.3</w:t>
      </w:r>
    </w:p>
    <w:p>
      <w:r>
        <w:t>La culpabilité du prévenu est significative dès lors qu'il s'est approprié le montant de la garantie de loyer en toute connaissance de cause, tout en violant ses autres obligations liées au sous-bail, soit notamment en n’annonçant pas la sous-location au bailleur. L'amende de 300 fr. prononcée par le premier juge est adéquate et correspond non seulement à la culpabilité du prévenu, mais aussi à sa situation financière. Elle doit par conséquent être confirmée.</w:t>
      </w:r>
    </w:p>
    <w:p>
      <w:r>
        <w:rPr>
          <w:b/>
        </w:rPr>
        <w:t>E. 7</w:t>
      </w:r>
    </w:p>
    <w:p>
      <w:r>
        <w:t>En définitive, l'appel doit être rejeté et le jugement confirmé. Vu l'issue de la cause, les frais de la procédure d'appel, constitués du seul émolument d’arrêt, par 1'610 fr. (art. 21 al. 1 et 2 TFIP [Tarif des frais de procédure et indemnités en matière pénale du 28 septembre 2010; RSV 312.03.1]), seront mis à la charge du prévenu, qui succombe (art. 428 al. 1 CPP). X.________ a conclu à l’allocation d’une juste indemnité pour les dépenses obligatoires occasionnées par la procédure au sens de l’art. 433 CPP. Son conseil a produit une liste d’opérations faisant état de 4 heures et 38 minutes à 350 fr. l’heure et 8 fr. de débours, soit une indemnité de 1'747 fr. 45, TVA comprise. Au vu de la simplicité du dossier et de la connaissance de celle-ci acquise en première instance, il se justifie de réduire cette indemnité. Ainsi, il sera retenu 4 heures de travail au tarif horaire de 250 fr. ainsi que 8 fr. de débours, soit une indemnité totale de</w:t>
      </w:r>
    </w:p>
    <w:p>
      <w:r>
        <w:t>- 19 - 1'088 fr. 65, TVA et débours compris (art. 26a al. 3 TFIP). Celle-ci sera mise à la charge de D.________,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