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PE14.003232 vom 12. Januar 2017</w:t>
      </w:r>
    </w:p>
    <w:p>
      <w:r>
        <w:t>VD Tribunal cantonal, 2017-01-12, FR</w:t>
      </w:r>
    </w:p>
    <w:p>
      <w:r>
        <w:rPr>
          <w:b/>
        </w:rPr>
        <w:t xml:space="preserve">Quelle: </w:t>
      </w:r>
      <w:r>
        <w:t>https://mcp.opencaselaw.ch/entscheid/vd_gerichte_PE14.003232</w:t>
      </w:r>
    </w:p>
    <w:p>
      <w:r>
        <w:t>FR: VD_GERICHTE PE14.003232 du 12 janvier 2017</w:t>
      </w:r>
    </w:p>
    <w:p>
      <w:r>
        <w:t>IT: VD_GERICHTE PE14.003232 del 12 gennaio 2017</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t>- 5 -</w:t>
      </w:r>
    </w:p>
    <w:p>
      <w:r>
        <w:rPr>
          <w:b/>
        </w:rPr>
        <w:t>E. 2.1</w:t>
      </w:r>
    </w:p>
    <w:p>
      <w:r>
        <w:t>Invoquant une violation de l’art. 318 al. 2 CPP, le recourant reproche au procureur de ne pas avoir donné suite à certaines des réquisitions qu’il avait présentées le 24 mars 2016.</w:t>
      </w:r>
    </w:p>
    <w:p>
      <w:r>
        <w:rPr>
          <w:b/>
        </w:rPr>
        <w:t>E. 2.2</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 Kuhn/Jeanneret (éd.), op. cit., n. 19 ad art. 318 CPP).</w:t>
      </w:r>
    </w:p>
    <w:p>
      <w:r>
        <w:t>- 6 -</w:t>
      </w:r>
    </w:p>
    <w:p>
      <w:r>
        <w:rPr>
          <w:b/>
        </w:rPr>
        <w:t>E. 2.3</w:t>
      </w:r>
    </w:p>
    <w:p>
      <w:r>
        <w:t>En l’espèce, la confrontation entre les parties et la confrontation entre l’intimé et le témoin V.________ apparaissaient inutiles, dès lors qu’elles n’étaient pas susceptibles d’apporter des éléments nouveaux décisifs, les intéressés s’étant exprimés de manière suffisante au cours de la procédure. Il en va de même de l’audition en qualité de témoin de H.________, qui, selon le recourant, devrait pouvoir attester que ce dernier était informé du fait que l’intimé se trouvait au Maroc. Ce point, en effet n’est pas de nature à influer sur le sort de la cause.</w:t>
      </w:r>
    </w:p>
    <w:p>
      <w:r>
        <w:rPr>
          <w:b/>
        </w:rPr>
        <w:t>E. 3.1</w:t>
      </w:r>
    </w:p>
    <w:p>
      <w:r>
        <w:t>Le recourant soutient en substance que le dossier renfermerait suffisamment d’éléments pour prononcer la mise en accusation de W.________ du chef d’abus de confiance. Il conteste en particulier le bien- fondé des créances alléguées par le prévenu, lequel aurait, partant, agi dans un dessein d’enrichissement illégitime.</w:t>
      </w:r>
    </w:p>
    <w:p>
      <w:r>
        <w:rPr>
          <w:b/>
        </w:rPr>
        <w:t>E. 3.2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w:t>
      </w:r>
    </w:p>
    <w:p>
      <w:r>
        <w:t>- 7 -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3.3</w:t>
      </w:r>
    </w:p>
    <w:p>
      <w:r>
        <w:t>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w:t>
      </w:r>
    </w:p>
    <w:p>
      <w:r>
        <w:t>- 8 -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précité). Autrement dit, l'auteur, par un comportement objectivement constatable, se conduit comme s'il était le propriétaire de la chose et ceci en violation de l'accord qui lui a permis d'en acquérir la possession. Détruire la chose n'est pas une appropriation (Corboz, Les infractions en droit suisse, tome I, 2010, pp. 236-237). Du point de vue subjectif, l'auteur doit avoir agi intentionnellement et dans un dessein d'enrichissement illégitime, lequel peut être réalisé par dol éventuel (ATF 118 IV 32 consid. 2a; ATF 105 IV 29 consid. 3a). La condition du dessein d’enrichissement illégitime est remplie dès lors que l’auteur fait usage à son profit du bien confié sans avoir à tout instant la volonté et la possibilité de respecter les termes du rapport de confiance et l’affectation prévue par ce biais (ATF 133 IV 21 consid. 6.1 ; ATF 118 IV 27 consid. 3a, JdT 1994 IV 103). A contrario, cette condition n’est pas remplie en cas d’Ersatzbereitschaft, par quoi la jurisprudence et la doctrine désignent l’état dans lequel se trouve l’auteur qui peut justifier d’avoir eu à tout moment la faculté et la volonté de restituer ou de transférer l’équivalent du bien confié (ATF 118 IV 32 consid. 2a). Il n’y a pas non plus de dessein d’enrichissement illégitime si l’auteur est en droit de faire valoir la compensation (ATF 105 IV 29 consid. 3a ; TF 6B_827/2008 du 7 janvier 2009 consid. 1.3). Selon la jurisprudence, en effet, il n’y a pas d’enrichissement illégitime lorsque l’auteur s’approprie une chose pour se payer ou tenter de se payer lui-même, s’il a une créance d’un montant au moins égal à la valeur de la chose qu’il s’est appropriée et s’il a vraiment agi en vue de se payer. Ce qui est déterminant, c’est uniquement l’intention de l’auteur de l’appropriation et sa conscience de l’illégitimité de l’enrichissement. Si elle fait défaut, notamment lorsque l’auteur est convaincu de l’existence de sa créance, celui-ci devra se voir appliquer l’art. 13 CP sur l’erreur sur les faits. Ce sont</w:t>
      </w:r>
    </w:p>
    <w:p>
      <w:r>
        <w:t>- 9 - donc la volonté et la représentation de l’auteur qui sont décisives (ATF 105 IV 29 consid. 3a, et les références citées).</w:t>
      </w:r>
    </w:p>
    <w:p>
      <w:r>
        <w:rPr>
          <w:b/>
        </w:rPr>
        <w:t>E. 3.4</w:t>
      </w:r>
    </w:p>
    <w:p>
      <w:r>
        <w:t>En l’espèce, s’agissant tout d’abord de la créance relative au bail de la place de stationnement, il est constant que le recourant a payé 375 fr. au prévenu, correspondant à trois mois de loyer. Le prévenu conteste en revanche avoir reçu un montant de 1'000 fr. du recourant à titre d’avance. Il ressort du dossier que, le 26 avril 2014, le recourant a effectué un retrait de 1'000 fr. au bancomat UBS d’Ouchy (P. 22/5). Le recourant n’a pas daté précisément la rencontre qu’il avait eue avec le prévenu et au cours de laquelle il lui aurait remis cette somme. Il l’a située entre fin avril et début mai 2014 (PV aud. 4, p. 1), soit à une époque proche du retrait d’espèces précité. Quant au témoin V.________, il n’a pas écarté la possibilité que le recourant ait remis de l’argent à l’intimé lors de cette rencontre, bien qu’il n’en ait pas vu (PV aud. 5). Au vu de ces éléments, on ne saurait, à ce stade, dénier toute crédibilité aux dires du recourant s’agissant de la remise de la somme de 1'000 francs. Les déclarations des parties sont également contradictoires en ce qui concerne une éventuelle créance de l’intimé relative à l’hébergement de la fille du recourant. Le Ministère public a retenu que l’intimé avait articulé une créance de 1'700 fr. de ce chef. Or, on ignore comment il est parvenu à ce montant. En effet, lors de l’audition de l’intimé du 13 novembre 2015, après un calcul avec le procureur précédemment en charge du dossier, il a été fait état d’un montant de 1'225 fr. (PV aud. 6, p. 3 lignes 89-90). Dans l’hypothèse la plus favorable à l’intimé, la créance de ce dernier s’élèverait à 2'350 fr. (1'500 fr. pour une année de loyer + 1'225 fr., soit 2'725 fr., sous déduction du montant de 375 fr. payé par le recourant). En vendant le véhicule 3'200 fr. (cf P. 10/1, p. 5), le prévenu pourrait avoir ainsi obtenu un enrichissement illégitime de 850 francs. Pour se justifier, l’intimé a indiqué qu’il avait rendu de nombreux services au recourant et que celui-ci l’avait toujours « mené en bateau pour ne rien payer » (PV aud. 6, p. 3). Ces explications ne sont toutefois pas</w:t>
      </w:r>
    </w:p>
    <w:p>
      <w:r>
        <w:t>- 10 - convaincantes. Le prévenu, en effet, ne précise pas en quoi auraient consisté ces services et semble avoir cherché à se dédommager du comportement qu’il reproche au recourant. Il résulte de ce qui précède qu’il existe des indices suffisants pour engager l’accusation contre W.________ du chef d’abus de confiance, le dessein d’enrichissement ne pouvant pas être exclu à ce stade. Il importe que le prévenu puisse être jugé aux côtés du recourant dans l’hypothèse où celui-ci, à la suite de son opposition, devrait être déféré devant le Tribunal de police.</w:t>
      </w:r>
    </w:p>
    <w:p>
      <w:r>
        <w:rPr>
          <w:b/>
        </w:rPr>
        <w:t>E. 4</w:t>
      </w:r>
    </w:p>
    <w:p>
      <w:r>
        <w:t>En définitive, le recours doit être admis et l’ordonnance de classement du 14 septembre 2016 annulée. Le dossier de la cause sera renvoyé au Ministère public de l’arrondissement de Lausanne pour qu’il procède dans le sens des considérants. Le recourant,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elle sera fixée à 900 fr. (3 heures à 300 fr.), plus la TVA, par 72 fr., soit à 972 fr. au total. Elle sera laissée à la charge de l’Etat (art. 423 al. 1 CPP). Les frais de la procédure de recours, constitués en l’espèce de l’émolument d'arrêt, par 1’100 fr. (art. 20 al. 1 TFIP [tarif des frais judiciaires de procédure et indemnités en matière pénale du 28 septembre 2010 ; RSV 312.03.1]), seront également laissés à la charge de l’Etat (art. 423 al. 1 CPP).</w:t>
      </w:r>
    </w:p>
    <w:p>
      <w:r>
        <w:t>- 11 - Par ces motifs, la Chambre des recours pénale prononce : I. Le recours est admis. II. L’ordonnance de classement du 14 septembre 2016 est annulée. III. Le dossier de la cause est renvoyé au Ministère public de l’arrondissement de Lausanne pour qu’il procède dans le sens de considérants. IV. L’indemnité due à R.________ pour la procédure de recours est fixée à 972 fr. (neuf cent septante-deux francs), à la charge de l’Etat. V. Les frais d’arrêt, par 1’100 fr. (mille cent francs) ainsi que l’indemnité allouée à R.________, par 972 fr. (neuf cent septante-deux francs), sont laissés à la charge de l’Etat. VI. L’arrêt est exécutoire. Le président : Le greffier : Du Le présent arrêt, dont la rédaction a été approuvée à huis clos, est notifié, par l'envoi d'une copie complète, à : - Me Anne Dorthe, avocate (pour R.________), - M. W.________,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