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PE14.003231 vom 10. März 2016</w:t>
      </w:r>
    </w:p>
    <w:p>
      <w:r>
        <w:t>VD Tribunal cantonal, 2016-03-10, FR</w:t>
      </w:r>
    </w:p>
    <w:p>
      <w:r>
        <w:rPr>
          <w:b/>
        </w:rPr>
        <w:t xml:space="preserve">Quelle: </w:t>
      </w:r>
      <w:r>
        <w:t>https://mcp.opencaselaw.ch/entscheid/vd_gerichte_PE14.003231</w:t>
      </w:r>
    </w:p>
    <w:p>
      <w:r>
        <w:t>FR: VD_GERICHTE PE14.003231 du 10 mars 2016</w:t>
      </w:r>
    </w:p>
    <w:p>
      <w:r>
        <w:t>IT: VD_GERICHTE PE14.003231 del 10 marzo 2016</w:t>
      </w:r>
    </w:p>
    <w:p>
      <w:pPr>
        <w:pStyle w:val="Heading2"/>
      </w:pPr>
      <w:r>
        <w:t>Erwägungen</w:t>
      </w:r>
    </w:p>
    <w:p>
      <w:r>
        <w:rPr>
          <w:b/>
        </w:rPr>
        <w:t>E. 3</w:t>
      </w:r>
    </w:p>
    <w:p>
      <w:r>
        <w:t>Le recourant conteste également le classement de la procédure en ce qui concerne les injures qui auraient été proférées par le prévenu entre le 29 octobre 2013 et le 10 décembre 2013 (lettre A, cas n° 2 ci-dessus).</w:t>
      </w:r>
    </w:p>
    <w:p>
      <w:r>
        <w:rPr>
          <w:b/>
        </w:rPr>
        <w:t>E. 3.1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w:t>
      </w:r>
    </w:p>
    <w:p>
      <w:r>
        <w:t>- 8 -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3.2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L’honneur que protège l’art. 177 CP est le sentiment et la réputation d’être une personne honnête et respectable, c'est-à-dire le droit de ne pas être méprisé en tant qu’être humain ou entité juridique (ATF 132 IV 112 consid. 2.1 p. 115; ATF 128 IV 53 consid. 1a p. 58). Selon la jurisprudence, l’art. 177 al. 2 CP s'applique lorsque l'injure consiste en une réaction immédiate à un comportement</w:t>
      </w:r>
    </w:p>
    <w:p>
      <w:r>
        <w:t>- 9 - répréhensible qui a provoqué chez l'auteur un sentiment de révolte. Il peut s'agir d'une provocation ou d'un autre comportement blâmable. Celui-ci ne doit pas nécessairement viser l'auteur de l'injure; une conduite grossière en public peut suffire (ATF 117 IV 270 consid. 2c ; ATF 83 IV 151). La notion d'immédiateté doit être comprise comme une notion de temps dans le sens que l'auteur doit avoir agi sous le coup de l'émotion provoquée par la conduite répréhensible de l'injurié, sans avoir eu le temps de réfléchir tranquillement (ATF 83 IV 151).</w:t>
      </w:r>
    </w:p>
    <w:p>
      <w:r>
        <w:rPr>
          <w:b/>
        </w:rPr>
        <w:t>E. 3.3</w:t>
      </w:r>
    </w:p>
    <w:p>
      <w:r>
        <w:t>En l’espèce, le recourant a dénoncé des injures verbales, mais il a également produit des copies de plusieurs courriels échangés avec L.________ (cf. notamment P. 4/3). En particulier, il ressort de ce document que, dans un courriel du 25 novembre 2013, le prévenu a notamment traité le recourant de « p’tit con », de « grosse merde » et d’ « immense trou du cul ». Ces termes n’ont pas été repris dans l’ordonnance de classement du 26 novembre 2015, alors qu’ils constituent assurément des injures au sens de l’art. 177 CP. Au surplus, le document produit comprend également le texte envoyé par le recourant deux heures avant, dans lequel on ne décèle aucune injure. Ainsi, on ne saurait retenir que les injures proférées par L.________ – à tout le moins dans ce courriel – l’ont été en réaction immédiate à un comportement répréhensible de X.________. Le prévenu pourrait donc s’être rendu coupable d’injure, sans qu’il puisse se prévaloir d’une preuve libératoire ou d’un fait justificatif. Le recours doit donc être admis sur ce point également.</w:t>
      </w:r>
    </w:p>
    <w:p>
      <w:r>
        <w:rPr>
          <w:b/>
        </w:rPr>
        <w:t>E. 4</w:t>
      </w:r>
    </w:p>
    <w:p>
      <w:r>
        <w:t>Pour le surplus, le recourant s’en est remis à justice s’agissant des autres faits reprochés au prévenu. La décision du Procureur ne prêtant pas le flanc à la critique s’agissant du classement des faits décrits sous chiffres 1, 3, 4, 5, 6, 7, 8 et 9 de l’ordonnance de classement du 26 novembre 2015, celle-ci doit être confirmée sur ces points.</w:t>
      </w:r>
    </w:p>
    <w:p>
      <w:r>
        <w:rPr>
          <w:b/>
        </w:rPr>
        <w:t>E. 5</w:t>
      </w:r>
    </w:p>
    <w:p>
      <w:r>
        <w:t>En définitive, le recours doit être admis. Le chiffre II du dispositif de l'ordonnance attaquée sera annulé en tant qu’il ordonne le classement des faits décrits sous chiffres 2 et 10 de cette ordonnance et confirmé pour le surplus. Le chiffre III du dispositif de l’ordonnance</w:t>
      </w:r>
    </w:p>
    <w:p>
      <w:r>
        <w:t>- 10 - attaquée sera également annulé, le dossier de la cause étant renvoyé au Ministère public de l'arrondissement de Lausanne pour nouvelle décision dans le sens des considérants (cf. consid. 2 et 3 supra). Les frais de la procédure de recours, constitués en l’espèce de l’émolument d'arrêt, par 1’100 fr. (art. 20 al. 1 TFIP [Tarif des frais de procédure et indemnités en matière pénale du 28 septembre 2010; RSV 312.03.1]), et des frais imputables à l’assistance judiciaire gratuite pour la partie plaignante, fixés à 1'080 fr., plus la TVA, par 86 fr. 40, soit un total de 1’166 fr. 40, seront laissés à la charge de l’Etat (art. 423 al. 1 CPP). S’agissant des dépens réclamés par le recourant, il appartiendra à ce dernier d’adresser à la fin de la procédure ses prétentions à l’autorité pénale compétente selon l’art. 433 al. 2 CPP (CREP 16 avril 2013/279 consid. 4 et les références citées). Par ces motifs, la Chambre des recours pénale prononce : I. Le recours est admis. II. Le chiffre II du dispositif de l’ordonnance du 26 novembre 2015 est annulé en tant qu’il ordonne le classement des faits décrits sous chiffres 2 et 10 ; il est confirmée pour le surplus. III. Le chiffre III de l’ordonnance du 26 novembre 2015 est annulé. IV. Le dossier de la cause est renvoyé au Ministère public de l'arrondissement de Lausanne pour nouvelle décision dans le sens des considérants. V. L’indemnité allouée à Me Rolf Ditesheim, conseil juridique gratuit de X.________, est fixée à 1’166 fr. 40 (mille cent soixante-six francs et soixante centimes).</w:t>
      </w:r>
    </w:p>
    <w:p>
      <w:r>
        <w:t>- 11 - VI. Les frais d’arrêt, par 1’100 fr. (mille cent francs), ainsi que l’indemnité allouée au conseil juridique gratuit de X.________, par 1’166 fr. 40 (mille cent soixante-six francs et soixante centimes), sont laissés à la charge de l’Etat. VII. Le présent arrêt est exécutoire. Le président : La greffière : Du Le présent arrêt, dont la rédaction a été approuvée à huis clos, est notifié, par l'envoi d'une copie complète, à : - Me Rolf Ditesheim, avocat (pour X.________), - M.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w:t>
      </w:r>
    </w:p>
    <w:p>
      <w:r>
        <w:t>- 12 -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