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PE14.002727 vom 6. März 2019</w:t>
      </w:r>
    </w:p>
    <w:p>
      <w:r>
        <w:t>VD Tribunal cantonal, 2019-03-06, FR</w:t>
      </w:r>
    </w:p>
    <w:p>
      <w:r>
        <w:rPr>
          <w:b/>
        </w:rPr>
        <w:t xml:space="preserve">Quelle: </w:t>
      </w:r>
      <w:r>
        <w:t>https://mcp.opencaselaw.ch/entscheid/vd_gerichte_PE14.002727</w:t>
      </w:r>
    </w:p>
    <w:p>
      <w:r>
        <w:t>FR: VD_GERICHTE PE14.002727 du 6 mars 2019</w:t>
      </w:r>
    </w:p>
    <w:p>
      <w:r>
        <w:t>IT: VD_GERICHTE PE14.002727 del 6 marzo 2019</w:t>
      </w:r>
    </w:p>
    <w:p>
      <w:pPr>
        <w:pStyle w:val="Heading2"/>
      </w:pPr>
      <w:r>
        <w:t>Erwägungen</w:t>
      </w:r>
    </w:p>
    <w:p>
      <w:r>
        <w:rPr>
          <w:b/>
        </w:rPr>
        <w:t>E. 32</w:t>
      </w:r>
    </w:p>
    <w:p>
      <w:r>
        <w:t>consid. 1a) ou encore s'il était en droit de compenser (ATF 105 IV 29 consid. 3a). 2.2.3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CP, 2e éd., Bâle 2017, nn. 11 ss ad art. 146 CP et les réf. citées). L’erreur de la dupe provoquée par la tromperie astucieuse doit l’avoir déterminée à effectuer des actes (ou omissions) préjudiciables à ses intérêts pécuniaires ou à ceux d’un tiers. Il doit ainsi exister un rapport</w:t>
      </w:r>
    </w:p>
    <w:p>
      <w:r>
        <w:t>- 17 - de causalité entre la tromperie astucieuse et l’erreur (sauf en cas d’erreur préexistante dans laquelle la dupe a été confortée), entre l’erreur et l’acte de disposition et, enfin, entre ce dernier et un dommage (ATF 128 IV 256 consid. 2e; ATF 115 IV 32 consid. 3a; Corboz, op. cit., nn. 31 et 38 ad art. 146 CP; Dupuis et alii, op. cit., n. 32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2.2.4 Lorsque l'auteur, par une tromperie astucieuse, s'est fait confier une chose mobilière ou des valeurs patrimoniales, la jurisprudence considère que les faits sont constitutifs d'escroquerie et d'abus de confiance. La jurisprudence n'a pas encore déterminé s'il y avait concours imparfait ou concours idéal entre les deux infractions (TF 6B_507/2015 précité consid. 6.1; TF 6B_569/2014 précité consid. 3.1; TF 6B_91/2007 précité consid. 6.2; cf. ATF 117 IV 429 consid. 2 p. 433). L'illicéité de l'escroquerie et de l'abus de confiance se rapporte à un transfert de patrimoine, respectivement de propriété (cf. ATF 134 IV 210 consid. 5.3 p. 213 s.),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(TF 6B_473/2016 consid. 3. 1 et les réf.. citées). 2.3 Le recourant fait valoir que les prévenus auraient utilisé l’argent prêté à des fins autres que celles spécifiées dans les contrats de</w:t>
      </w:r>
    </w:p>
    <w:p>
      <w:r>
        <w:t>- 18 - prêt : l’argent ne serait jamais parvenu en Argentine et n’aurait même pas été affecté à des projets immobiliers en Suisse. En outre, les prévenus l’auraient incité à réinvestir par contrat du 14 octobre 2010 plus de 3 millions de dollars en urgence, en invoquant le péril pesant sur le projet argentin, alors que les prévenus n’auraient eu aucune intention d’utiliser les fonds pour ledit projet. La constatation des faits serait incomplète ou erronée, pour les motifs suivants : a) A tort, le Procureur aurait retenu que l’affectation des fonds était multiple ; b) Il conviendrait de constater que sitôt bonifiés sur les différents comptes de S.________, les fonds étaient prélevés par les prévenus, reversés à diverses sociétés liées à ces derniers ou affectés au paiement des dettes. Le Procureur se serait retranché derrière l’audit effectué en novembre 2011 pour s’épargner l’analyse des comptes ; c) Le recourant n’aurait en aucun cas mandaté cet audit, pas plus qu’il l’aurait validé ou en aurait eu connaissance. Il conteste avoir validé un audit reprenant des chiffres surréalistes ou encore avoir procédé à une vérification préalable (due diligence). Il n’aurait jamais approuvé les honoraires facturés par S.________ et n’aurait pris connaissance du détail des factures pour la première fois que dans le cadre de la présente enquête. 2.3.1 Si une partie des contrats indique que les fonds sont destinés au développement du projet T.________ en Argentine, une autre partie indique que les fonds seront utilisés pour des projets en Suisse, sans autres précisions. Interpellé sur ce point, le recourant a confirmé que USD 3'930'000.- étaient destinés aux projets en Argentine, le reste pour des projets en Suisse (PV aud. 3, ll. 172-173). Par ailleurs, l’instruction a révélé qu’en 2009, malgré la teneur d’un contrat de prêt, le recourant avait expressément autorisé l’utilisation de la somme de CHF 600'000.- au bon vouloir de la société S.________. A la demande d’une banque, le recourant</w:t>
      </w:r>
    </w:p>
    <w:p>
      <w:r>
        <w:t>- 19 - a établi une autorisation écrite en ce sens. S’agissant du prêt complémentaire de USD 3'000'000.-, il a déclaré avoir donné des utilisations ponctuelles portant sur quelques dizaines de milliers de dollars et avoir dit, dans un état d’énervement, que les prévenus pouvaient utiliser la dernière tranche de USD 500'000.- à leur guise. Ces éléments tendent à corroborer la version des prévenus, selon laquelle ils avaient un accord de principe verbal sur l’utilisation de l’argent investi par P.________ (PV aud. 4 ll. 494 ss). Il ne s’était pas opposé à ce que l’argent soit utilisé par S.________, cela ne lui posait pas de problèmes dès lors que son rendement de 15 % était assuré (PV aud. 2, ll. 114 ss). A tout le moins, la constatation faite par le Procureur que l’affectation des fonds était multiple est fondée. Le grief doit être rejeté. 2.3.2 Le recourant conteste le résultat de l’audit effectué en novembre 2011 et demande qu’il soit constaté que l’argent prêté était retiré des comptes bancaires pour être reversés aux prévenus ou aux diverses sociétés de C.________ ou payer des dettes diverses. Entendu pendant l’enquête, le recourant a expliqué qu’il était au courant du mécanisme de financement et de contournement de la législation argentine et du fait que l’argent devait emprunter divers canaux (banque, western union et par porteur), mais qu’il ne savait pas si ce mécanisme avait été réellement appliqué (PV aud. 4, ll. 232-233). Ainsi, selon l’accord des parties, les prévenus étaient autorisés à retirer l’argent versé par le recourant pour le verser ensuite sur leurs relations bancaires personnelles et le transférer enfin en Argentine, notamment par porteur. Le recourant ne peut valablement après coup se plaindre du fait que certaines sommes d’argent ont été retirées par les prévenus. D’autre part, comme le fait valoir le recourant, il est établi que les sommes versées par le recourant ont manifestement servi à payer des dettes diverses ou ont bénéficié à diverses sociétés. Cela est notamment illustré par l’exemple suivant : au 19 novembre 2011, le compte de S.________ à la Banque Migros SA accusait un solde de 585 fr. 49. Le recourant, par l’intermédiaire de l’une de ses sociétés, a versé la somme</w:t>
      </w:r>
    </w:p>
    <w:p>
      <w:r>
        <w:t>- 20 - de 197'100 fr. le 24 novembre 2011. Au 6 décembre 2010, le solde s’élevait à 53'045 fr. 59 après paiement de 20'000 fr. à [...], de 9'639 fr. 90 à l’Office des poursuites de Lausanne-Est, des retraits en espèce, paiement de 15'000 fr. à [...], 15'000 fr. à [...] (société de courtage), 16'000 fr. à [...] (active dans la vente des villas), 40'000 fr. à [...] (société de génie civil). Ces sociétés sont « affiliées » à [...] (P. 39/5, pp. 8-9 et les P. 37/3 et P. 37/7). Toutefois, ce constat ne permettrait pas de retenir qu’il y a eu détournement de fonds de leur but initial. Les prévenus admettent avoir utilisé certaines sommes prêtées dans le cadre du fonctionnement de la société (réd. : S.________) et non à titre d’investissement (PV aud. 4, ll. 446-450). Comme on l’a vu, le recourant a autorisé l’utilisation de quelques dizaines de milliers de dollars (PV aud. 4, l. 475 ss) à des buts non mentionnés dans les contrats. En 2009, il a également autorisé S.________ à effectuer des paiements pour le compte de la société en déduction de ses investissements (PV aud. 4, ll. 481-483). Il n’y a ainsi rien d’étonnant de constater que les sommes prêtées ont été utilisées pour payer des impôts, des dettes déduites en poursuite ou des sociétés vraisemblablement mandatées par S.________. Mais, finalement, — ce qui est décisif — l’audit réalisé en novembre 2011 a attesté que la somme de USD 5'677'340.94 (qui comprend aussi les honoraires et le coût de matériaux) a été injectée dans le projet argentin, alors que le montant des investissements s’élève à CHF 5'595'900.16. Ainsi, quelles que soient les voies qu’ils ont suivies pour parvenir en Argentine, les fonds investis par le recourant ont donc bien été affectés au projet argentin. Certes, le recourant considère que le résultat de la procédure de vérification préalable ne le lie pas. Ces explications ne sont toutefois pas convaincantes. Il résulte sans l’ombre d’un doute de l’instruction qu’il a exigé qu’il y ait une procédure de vérification préalable officielle et indépendante en Argentine. Le recourant admet que les pièces comptables ont été vérifiées par la chambre fiduciaire argentine (recours, p. 13). Le contrat du 18 novembre 2011 (Agreement), qu’il a signé devant un notaire, atteste qu’il a participé à la procédure tendant à l’évaluation du projet « T.________» et de la société D.________. Il a bénéficié de toutes les informations utiles dans le cadre de cette évaluation. Par ailleurs, un</w:t>
      </w:r>
    </w:p>
    <w:p>
      <w:r>
        <w:t>- 21 - expert-architecte et un avocat argentin, dont les honoraires ont été prises en charge par le recourant à hauteur de 90%, ont procédé à l’évaluation du projet et de la société. Ainsi, comme l’ont déclaré les prévenus, au mois de novembre 2011, le recourant a contrôlé point par point les envois d’argent en Argentine, les achats et les paiements directs de factures aux fournisseurs (PV aud. 4, ll. 547 ss). Dans ces circonstances, une nouvelle mesure d’instruction, telle qu’une expertise comptable, financière et/ou technique, est inutile. 2.4 En définitive, peu importent les déclarations contradictoires sur le fait qu’il y avait ou non une autorisation de principe d’utiliser l’argent prêté au bon vouloir de la société S.________. En tout état, les fonds ont été, au final, utilisés conformément au contrat, de sorte que la qualification d’abus de confiance doit être exclue. 3. Il en va de même s’agissant de l’infraction d’escroquerie. Le Procureur a consacré une longue et convaincante motivation sur ce point (cf. ordonnance, pp. 10-14) et est arrivé à la conclusion qu’il n’y a aucune astuce. Le recourant ne critique pas cette motivation et se réserve d’invoquer l’infraction d’escroquerie, une fois que l’administration des mesures d’instruction requises aura eu lieu. Cela étant, il plaide implicitement l’existence d’une escroquerie en faisant valoir que les prévenus l’auraient incité à investir, dans l’urgence, 3 millions de dollars par contrat du 4 octobre 2010, alors qu’ils n’auraient eu aucune intention d’utiliser les fonds pour le projet «T.________ ». Ce moyen n’est pas fondé. Les photographies au dossier montrent l’avancement du chantier (P. 37/25). En outre, comme on vient de le voir, un audit a attesté qu’une quotité équivalente de l’argent prêté avait été utilisée pour le projet argentin. Les prévenus avaient donc bien l’intention d’utiliser les fonds empruntés pour le projet T.________ . En tout état de cause, l’escroquerie, en ce qui concerne la somme investie en octobre 2010 doit être définitivement exclue pour une autre raison encore. Comme le relève le Procureur, selon les explications du recourant, celui-ci a versé l’investissement supplémentaire de 3 millions de dollars avant de se rendre en Argentine et d’obtenir les pièces comptables complètes qu’il</w:t>
      </w:r>
    </w:p>
    <w:p>
      <w:r>
        <w:t>- 22 - avait requises. De même, il a continué à verser les tranches du prêt sans obtenir les renseignements souhaités (PV aud. 4, ll. 372 ss). Il savait pourtant depuis août 2010 que le chantier avait rencontré des problèmes. Compte tenu de l’importance de la somme en jeu, le recourant, qui est rompu aux affaires, a violé le devoir de prudence qui lui incombait. 4. Il résulte de ce qui précède que le recours, manifestement mal fondé, doit être rejeté sans échange d’écritures (art. 390 al. 2 CPP) et l'ordonnance de classement du 23 août 2018 confirmée. Les frais de la procédure de recours, par 2’200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23 août 2018 est confirmée. III. Les frais d’arrêt, par 2’200 fr. (deux mille deux cents francs), sont mis à la charge de P.________. IV. L’arrêt est exécutoire. Le président : La greffière :</w:t>
      </w:r>
    </w:p>
    <w:p>
      <w:r>
        <w:t>- 23 - Du Le présent arrêt, dont la rédaction a été approuvée à huis clos, est notifié, par l'envoi d'une copie complète, à : - Me John-David Burdet, avocat (pour P.________), - Me Eric Muster, avocat (pour C.________), - B.________,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