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PE14.002276 vom 20. Oktober 2015</w:t>
      </w:r>
    </w:p>
    <w:p>
      <w:r>
        <w:t>VD Tribunal cantonal, 2015-10-20, FR</w:t>
      </w:r>
    </w:p>
    <w:p>
      <w:r>
        <w:rPr>
          <w:b/>
        </w:rPr>
        <w:t xml:space="preserve">Quelle: </w:t>
      </w:r>
      <w:r>
        <w:t>https://mcp.opencaselaw.ch/entscheid/vd_gerichte_PE14.002276</w:t>
      </w:r>
    </w:p>
    <w:p>
      <w:r>
        <w:t>FR: VD_GERICHTE PE14.002276 du 20 octobre 2015</w:t>
      </w:r>
    </w:p>
    <w:p>
      <w:r>
        <w:t>IT: VD_GERICHTE PE14.002276 del 20 ottobre 2015</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par le prévenu qui a qualité pour recourir dans la mesure où il conteste la mise à sa charge des frais de procédure et le refus d’une indemnité (art. 382 al. 1 CPP), et satisfaisant aux conditions de forme posées par la loi (cf. art. 385 al. 1 CPP), le recours est recevable. Lorsque, comme en l’espèce, le recours porte uniquement sur les conséquences économiques accessoires d'une décision et que le montant litigieux – en l’occurrence 7'627 fr. 70 – est supérieur à 5'000 fr., il relève de la compétence de la Chambre des recours pénale comme autorité collégiale (art. 395 let. b CPP et art. 12 al. 2 LVCPP a contrario ; CREP 7 avril 2014/270 c. 1 précité).</w:t>
      </w:r>
    </w:p>
    <w:p>
      <w:r>
        <w:rPr>
          <w:b/>
        </w:rPr>
        <w:t>E. 1.2</w:t>
      </w:r>
    </w:p>
    <w:p>
      <w:r>
        <w:t>; TF 1B_12/2012 du 20 février 2012 c. 2 et les références citées).</w:t>
      </w:r>
    </w:p>
    <w:p>
      <w:r>
        <w:rPr>
          <w:b/>
        </w:rPr>
        <w:t>E. 2.1</w:t>
      </w:r>
    </w:p>
    <w:p>
      <w:r>
        <w:t>Le recourant conteste la mise à sa charge des frais de la procédure pénale en dépit du classement de cette dernière et requiert l’allocation d’une indemnité au sens de l’art. 429 CPP.</w:t>
      </w:r>
    </w:p>
    <w:p>
      <w:r>
        <w:rPr>
          <w:b/>
        </w:rPr>
        <w:t>E. 2.2</w:t>
      </w:r>
    </w:p>
    <w:p>
      <w:r>
        <w:t>- 6 -</w:t>
      </w:r>
    </w:p>
    <w:p>
      <w:r>
        <w:rPr>
          <w:b/>
        </w:rPr>
        <w:t>E. 2.2.1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et 2e). Seul un comportement fautif et contraire à une règle juridique, qui soit en relation de causalité avec les frais imputés, entre en ligne de compte (TF 6B_387/2009 du 20 octobre 2009 c. 1.1; TF 6B_215/2009 du 23 juin 2009 c. 2.2; ATF 119 Ia 332 c. 1b; ATF 116 Ia 162 précité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w:t>
      </w:r>
    </w:p>
    <w:p>
      <w:r>
        <w:t>- 7 -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c.</w:t>
      </w:r>
    </w:p>
    <w:p>
      <w:r>
        <w:rPr>
          <w:b/>
        </w:rPr>
        <w:t>E. 2.2.2</w:t>
      </w:r>
    </w:p>
    <w:p>
      <w:r>
        <w:t>L’art. 11 al. 1 Cst. prévoit que les enfants et les jeunes ont droit à une protection particulière de leur intégrité et à l'encouragement de leur développement. Cette disposition doit être prise en compte dans le cadre d’une interprétation conforme à la constitution des dispositions légales pertinentes (ATF 131 V 9 c. 3.5.1 ; ATF 132 III 359 c. 4.4.2). L’art. 11 al. 1 Cst. impose donc aux autorités de tenir compte dans l’application de la loi des besoins de protection particuliers des enfants (ATF 132 III 359 c. 4.4.2 et les références citées). Aux termes de l’art. 28 CC (Code civil suisse du 10 décembre 1907, RS 210),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notion d’atteinte désigne tout comportement humain qui remet en cause – totalement ou partiellement – l’existence ou la substance d’un bien de la personnalité appartenant à autrui (Jeandin, Commentaire romand, Code civil I, 2010, n. 67 ad 28 CC). Le comportement visé émane d’une personne et porte atteinte à la personnalité d’un autre sujet. En outre, la remise en cause du bien considéré doit survenir avec une certaine intensité, c’est-à-dire dépasser le seuil de tolérance qu’on est en droit d’attendre de toute personne vivant en société ; à défaut, il n’y a pas d’atteinte qui soit pertinente au sens de l’art. 28 al. 1 CC (Jeandin, op. cit., n. 68 ad 28 CC). C’est en fonction du bien de la personnalité touché et des circonstances du cas</w:t>
      </w:r>
    </w:p>
    <w:p>
      <w:r>
        <w:t>- 8 - concret que le juge retiendra l’existence ou non d’une atteinte. Cette démarche – qui relève du droit – sera opérée sur la base d’une échelle de valeurs objectives et non eu égard au ressenti ou à la sensibilité de la victime (Jeandin, op. cit., n. 69 ad 28 CC). L’atteinte n’est pas illicite lorsqu’elle est justifiée par l’une ou l’autre des circonstances suivantes : le consentement de la victime, un intérêt prépondérant privé ou public, la loi. En d’autres termes, toute atteinte à la personnalité est par définition illicite et habilite la victime à agir pour s’en protéger à moins que ne soit réalisé l’un ou l’autre des motifs justificatifs de l’art. 28 al. 2 CC. Ainsi se concrétise la nature de droits absolus inhérente aux biens de la personnalité (Jeandin, op. cit., n. 72 ad 28 CC).</w:t>
      </w:r>
    </w:p>
    <w:p>
      <w:r>
        <w:rPr>
          <w:b/>
        </w:rPr>
        <w:t>E. 2.3</w:t>
      </w:r>
    </w:p>
    <w:p>
      <w:r>
        <w:t>En l’espèce, il ne fait aucun doute que le comportement du recourant, au regard de ses antécédents judiciaires, est en relation de causalité adéquate avec l’ouverture de l’instruction pénale. En effet, M.________ a été condamné pénalement pour des actes d’ordre sexuel avec des enfants et s’est vu interdire de travailler professionnellement avec des enfants pendant le délai d’épreuve de cinq ans qui lui a été imposé lors de sa libération conditionnelle. Dès la fin du délai d’épreuve, il a recommencé à s’occuper d’enfants, en cachant soigneusement son passé. C’est son attitude ambigüe avec de jeunes garçons qui a attiré l’attention tant d’une personne du Service de probation que d’un inspecteur de la Brigade des mœurs. Lors de ses dépostions, M.________ a lui-même admis avoir eu « des gestes affectifs, très affectifs, voire peut-être trop affectifs » avec des jeunes enfants. Il s’est expliqué en ces termes : « il n’y avait aucune connotation sexuelle dans mes gestes. Par contre, ils auraient pu être mal interprétés par des personnes extérieures. J’en avais conscience […] », « je n’ai pas dépassé la limite légalement, mais moralement oui, car il est vrai que je me suis mis en danger en intégrant des structures où il y a la présence d’enfants », « c’est vrai qu’il peut y avoir des ambiguïtés et cela n’est pas bon. Cela m’a coûté cher lors de ma précédente affaire et risque de me coûter cher également cette fois-là. Manifestement, je n’arriverai</w:t>
      </w:r>
    </w:p>
    <w:p>
      <w:r>
        <w:t>- 9 - jamais à corriger cette ambiguïté, qui fait partie de moi. J’ai une proximité naturelle avec les enfants qui peut se révéler ambigüe aux yeux de la société », « la pédophilie est en moi et ne partira jamais. J’essaie de la gérer au mieux en me fixant des limites. J’essaie de trouver d’autres centres d’intérêts, de me protéger en ne restant pas seul dans mon coin ou seul avec des enfants », « je suis sur une pente descendante. […], j’ai été trop loin par le fait de côtoyer des enfants », « je pense que vous êtes intervenus au bon moment pour me rappeler à l’ordre ». Il a par ailleurs admis avoir accueilli des enfants à son domicile, dormi avec eux et leur avoir prodigué des caresses à même la peau au niveau du ventre et du dos. Il s’agit là d’un comportement pour le moins inadéquat à l’égard d’enfants qui ne font pas partie de son cercle familial, et ce même si l’on fait abstraction des tendances pédophiles du recourant. Objectivement, Il y a une atteinte à la personnalité de l’enfant qui se fait toucher et manipuler par un tiers. Dans le cas d’espèce, il n’y avait aucun motif légal pouvant justifier le comportement de M.________ à l’égard de ces enfants. S’agissant en particulier de l’éventuel consentement des victimes, aucun enfant ne s’est plaint d’avoir dû subir les caresses ou les câlins du recourant, ni ne semble avoir été dérangé par le fait de dormir dans le même lit. Toutefois, la plupart des enfants avaient entre 6 et 10 ans, ils étaient donc relativement jeunes et l’on ne peut admettre dans un tel cas que leur consentement soit un motif justificatif suffisant. A tout le moins, on ne saurait le considérer comme « éclairé » vu leur jeune âge. Dès lors, il incombait au recourant, qui avait momentanément la responsabilité de ces enfants, de s’abstenir de tout geste déplacé. Par son comportement inapproprié à l’égard de ces enfants, M.________ a porté atteinte à leur personnalité, en tant que celle-ci impliquait le droit à une protection particulière de leur développement. C’est donc à juste titre que le Ministère public a décidé de mettre les frais de justice à sa charge.</w:t>
      </w:r>
    </w:p>
    <w:p>
      <w:r>
        <w:rPr>
          <w:b/>
        </w:rPr>
        <w:t>E. 3</w:t>
      </w:r>
    </w:p>
    <w:p>
      <w:r>
        <w:t>En définitive, le recours, manifestement mal fondé, doit être rejeté sans autres échanges d’écritures (art. 390 al. 2 CPP) et l’ordonnance attaquée confirmée.</w:t>
      </w:r>
    </w:p>
    <w:p>
      <w:r>
        <w:t>- 10 - Les frais de la procédure de recours, constitués du seul émolument d’arrêt (art. 422 al. 1 CPP), par 880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30 juillet 2015 est confirmée. III. Les frais d’arrêt, par 880 fr. (huit cent huitante francs), sont mis à la charge de M.________. IV. Le présent arrêt est exécutoire. Le président : La greffière : Du Le présent arrêt, dont la rédaction a été approuvée à huis clos, est notifié, par l'envoi d'une copie complète, à : - M. Paul-Arthur Treyvaud, avocat (pour M.________), - Ministère public central, et communiqué à : - M. le Procureur du Ministère public central, division affaires spéciales, contrôle et mineurs,</w:t>
      </w:r>
    </w:p>
    <w:p>
      <w:r>
        <w:t>- 11 -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