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PE14.001857 vom 20. März 2017</w:t>
      </w:r>
    </w:p>
    <w:p>
      <w:r>
        <w:t>VD Tribunal cantonal, 2017-03-20, FR</w:t>
      </w:r>
    </w:p>
    <w:p>
      <w:r>
        <w:rPr>
          <w:b/>
        </w:rPr>
        <w:t xml:space="preserve">Quelle: </w:t>
      </w:r>
      <w:r>
        <w:t>https://mcp.opencaselaw.ch/entscheid/vd_gerichte_PE14.001857</w:t>
      </w:r>
    </w:p>
    <w:p>
      <w:r>
        <w:t>FR: VD_GERICHTE PE14.001857 du 20 mars 2017</w:t>
      </w:r>
    </w:p>
    <w:p>
      <w:r>
        <w:t>IT: VD_GERICHTE PE14.001857 del 20 marzo 2017</w:t>
      </w:r>
    </w:p>
    <w:p>
      <w:pPr>
        <w:pStyle w:val="Heading2"/>
      </w:pPr>
      <w:r>
        <w:t>Erwägungen</w:t>
      </w:r>
    </w:p>
    <w:p>
      <w:r>
        <w:rPr>
          <w:b/>
        </w:rPr>
        <w:t>E. 9</w:t>
      </w:r>
    </w:p>
    <w:p>
      <w:r>
        <w:t>et 19). Les experts remarquent aussi qu'B.K.________ mentionne un détail : « "Ma maman elle l’a dit à [...] (il s’agit de sa marraine qui était la mère de sa famille d’accueil). Elle a déjà eu un problème comme ça, c’est son papa qui lui avait fait ça". Ce détail pourrait laisser penser qu’elle aurait pu être influencée par sa marraine. A noter qu’B.K.________ n’en a eu connaissance qu’après les faits qu’elle a révélés, et cela justement parce qu’elle les avait révélés et que son entourage a pensé lui apporter un soutien en lui laissant entendre que cela arrive à d’autres personnes ». On ignore précisément quand B.K.________ a eu connaissance des faits ayant touché sa marraine et on ignore quelles questions E.F.________ a posées à B.K.________ lorsqu'il était seul dans la chambre avec elle, mais il n’est nullement exclu qu'hormis les premières accusations, les déclarations ultérieures de la victime aient éventuellement été induites. De surcroît, comme relevé par les premiers juges, le lieu de commission de ces actes ultérieurs n’est pas compatible avec les accusations selon lesquelles l’appelant se serait dévêtu pour montrer son sexe et aurait léché le sexe de la jeune fille, alors que sa compagne se</w:t>
      </w:r>
    </w:p>
    <w:p>
      <w:r>
        <w:t>- 25 - trouvait dans la chambre située à quelques mètres du salon, dont la porte était ouverte. Enfin, il n'y a pas lieu d'examiner plus avant l'expertise dans la mesure où l'appelant a été libéré de l’essentiel des actes pour lesquels il était mis en accusation. Comme évoqué ci-dessus, les déclarations de l'appelant selon lesquelles ce serait en réalité la jeune fille qui aurait eu un comportement sexualisé déplacé contre lui ne sont pas crédibles, dès lors qu’aucun élément au dossier ne va dans ce sens et qu'il paraît tout à fait insolite qu'une jeune fille, dont l’examen clinique ne relève aucune pathologie psychiatrique, mais confirme un bon ancrage dans la réalité, puisse prendre l'initiative de tels contacts intimes. Le grief doit par conséquent être rejeté. 6. Ayant conclu à la libération de tous les chefs d'accusation, l’appelant n'émet aucune critique sur la peine infligée. A cet égard, la Cour de céans fait entièrement sienne la motivation des premiers juges au sujet des circonstances à charge et à décharge (art. 82 al. 4 CPP ; jgt, p. 28), de sorte que la peine prononcée doit être confirmée. Les montants alloués à titre de tort moral sont également adéquats. 7. Il résulte de ce qui précède que l'appel doit être rejeté et le jugement entrepris confirmé. Me Angelo Ruggiero, défenseur d'office de l'appelant, a produit une liste d'opérations indiquant 12 h de travail, audience d'appel comprise. Au tarif horaire de 180 fr., le montant des honoraires est ainsi de 2'160 francs. S'y ajoutent une vacation à 120 fr. et 50 fr. de débours, si bien que le total de l'indemnité s'élève à 2'516 fr. 40, TVA comprise ([2'160 fr. + 120 fr. + 50 fr.] x 8 %).</w:t>
      </w:r>
    </w:p>
    <w:p>
      <w:r>
        <w:t>- 26 - Me Nicolas Mattenberger, conseil d'office de l'intimée, a produit une liste d'opérations indiquant 3h05 de travail, qu'il faut majorer de 1h20 pour prendre en compte l'audience d'appel. Au tarif horaire de 180 fr., le montant des honoraires est ainsi de 810 francs. S'y ajoutent une vacation à 120 fr. et 5 fr. de débours, si bien que le total de l'indemnité s'élève à 1'009 fr. 80, TVA comprise ([810 fr. + 120 fr. + 5 fr.] x 8 %). Vu l’issue de la cause, les frais de la procédure d’appel, soit l’émolument de jugement par 2'460 fr. (art. 21 al. 1 et 2 TFIP [tarif des frais de procédure et indemnités en matière pénale du 28 septembre 2010 ; RSV 312.03.1]), l'indemnité du défenseur d'office de l'appelant par 2'516 fr. 40 et l'indemnité du conseil d'office de l'intimée par 1'009 fr. 80, soit au total 5'986 fr. 20, doivent être mis à la charge de l'appelant, qui succombe (art. 428 al. 1 CPP). L’appelant ne sera tenu de rembourser à l'Etat le montant de l’indemnité en faveur de son défenseur d'office, ainsi que l'indemnité en faveur du conseil d'office de l'intimée,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