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PE14.001049 vom 16. März 2015</w:t>
      </w:r>
    </w:p>
    <w:p>
      <w:r>
        <w:t>VD Tribunal cantonal, 2015-03-16, FR</w:t>
      </w:r>
    </w:p>
    <w:p>
      <w:r>
        <w:rPr>
          <w:b/>
        </w:rPr>
        <w:t xml:space="preserve">Quelle: </w:t>
      </w:r>
      <w:r>
        <w:t>https://mcp.opencaselaw.ch/entscheid/vd_gerichte_PE14.001049</w:t>
      </w:r>
    </w:p>
    <w:p>
      <w:r>
        <w:t>FR: VD_GERICHTE PE14.001049 du 16 mars 2015</w:t>
      </w:r>
    </w:p>
    <w:p>
      <w:r>
        <w:t>IT: VD_GERICHTE PE14.001049 del 16 marzo 2015</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statuant sur la qualité de partie plaignante (CREP du 31 octobre 2014/795; art. 382 al. 1 CPP) et dans les formes prescrites (art. 385 al. 1 CPP), le recours est recevable.</w:t>
      </w:r>
    </w:p>
    <w:p>
      <w:r>
        <w:rPr>
          <w:b/>
        </w:rPr>
        <w:t>E. 2.1</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Mazzucchelli/Postizzi, in: Niggli/Heer/Wiprächtiger [éd.], Basler Kommentar, Schweizerische Strafprozessordnung, Jugendstrafprozessordnung, Bâle 2014, n. 21 ad art. 115 CPP; ATF 138 IV 258 c. 2.2 et 2.3 ; TF 1B_553/2012 du 12 novembre 2012 c. 1.2.2; TF</w:t>
      </w:r>
    </w:p>
    <w:p>
      <w:r>
        <w:t>- 4 - 1B_678/2011 du 30 janvier 2012 c. 2.1; TF 1B_230/2011 du 22 juillet 2011 c. 1.3.2; TF 1B_201/2011 du 9 juin 2011 c. 2.1; TF 6B_557/2011 du 9 mars 2011 c. 5.1, cités par Garbarski, Le lésé et la partie plaignante en procédure pénale: état de lieux de la jurisprudence récente, in SJ 2012 II p. 123 spéc. p. 124). Il en est ainsi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(Mazzucchelli/Postizzi, op. cit., n. 28 ad art. 115 CPP; Perrier, op. cit., n. 13 ad art. 115 CPP). Lorsque l’infraction qui entre en ligne de compte protège au premier plan un intérêt collectif, les particuliers ne sont en règle générale pas considérés comme lésés à moins que leurs intérêts privés aient été effectivement touchés par les actes en cause de telle sorte que l’atteinte subie, qui doit présenter une certaine gravité, apparaît comme la conséquence directe de l’acte dénoncé (ATF 138 IV 258 c. 2.3 ; TF 489/2011 du 24 janvier 2012 c. 2.1). Ainsi, sauf à pouvoir démontrer concrètement en quoi cette condition est remplie, la personne privée qui dénonce des infractions qui protègent d’abord des intérêts collectifs ne saurait se voir reconnaître la qualité de lésé ni, partant, celle de partie plaignante à la procédure (TF 1B_489/2011 du 24 janvier 2012 c. 2.1). Infraction contre l’administration de la justice, le faux témoignage (art. 307 CP) tend à protéger celle-ci dans sa recherche de la vérité (Donatsch/Wohlers, Strafrecht IV, 2011, 4e éd., pp. 505-506 ; Corboz, Les infractions en droit suisse, vol. II, 2010, n. 1 ad art. 307 CP, p. 663 ; Cassani, Commentaire du droit pénal suisse, vol. 9, 1996, n. 1 ad art. 307 CP, p. 112). Indirectement, la disposition protège également les intérêts privés des personnes en cause, puisqu’il faut aussi considérer comme lésé celui qui subit un désavantage causé par la commission de l’infraction (ATF 123 IV 184 c. c).</w:t>
      </w:r>
    </w:p>
    <w:p>
      <w:r>
        <w:t>- 5 -</w:t>
      </w:r>
    </w:p>
    <w:p>
      <w:r>
        <w:rPr>
          <w:b/>
        </w:rPr>
        <w:t>E. 2.2</w:t>
      </w:r>
    </w:p>
    <w:p>
      <w:r>
        <w:t>Au vu des principes brièvement rappelés ci-dessus, il convient de trancher la question de savoir si les recourants ont subi, du fait de la déposition prétendument contraire à la réalité d'A.B.________, une atteinte directe et effective à leurs intérêts privés. Or, à l'examen des pièces du dossier, on ne voit pas que tel soit le cas. La plainte a été déposée le 15 janvier 2014, alors que les époux A.J.________ s'étaient déjà vus notifier le dispositif du jugement qui annulait la résiliation de leur bail. Le fait qu'à l'époque, ce jugement n'était pas définitif n'y change rien dès lors qu'il l'est aujourd'hui. Pour le surplus, l'amalgame que font les recourants avec la tentative de contrainte (cf. acte de recours, p. 8 i.f.) tombe à faux dès lors que la contrainte protège la liberté de décision individuelle et non un intérêt collectif. C'est donc à bon droit que la procureure a dénié la qualité de parties plaignantes aux époux A.J.________ dans le cadre de la présente cause.</w:t>
      </w:r>
    </w:p>
    <w:p>
      <w:r>
        <w:rPr>
          <w:b/>
        </w:rPr>
        <w:t>E. 3</w:t>
      </w:r>
    </w:p>
    <w:p>
      <w:r>
        <w:t>En définitive, le recours, manifestement mal fondé, doit être rejeté sans autres échanges d’écritures (art. 390 al. 2 CPP) et l’ordonnance entreprise confirmée. Les frais de la procédure de recours, constitués en l’espèce du seul émolument d’arrêt (art. 422 al. 1 CPP), par 550 fr. (art. 20 al. 1 TFIP [tarif des frais de procédure et indemnités en matière pénale; RSV 312.03.1]), seront mis à la charge des recourants, qui succombent (art. 428 al. 1 CPP), à parts égales et solidairement entre eux (art. 418 al. 1 et 2 CPP).</w:t>
      </w:r>
    </w:p>
    <w:p>
      <w:r>
        <w:t>- 6 - Par ces motifs, la Chambre des recours pénale prononce : I. Le recours est rejeté. II. L'ordonnance du 24 février 2015 est confirmée. III. Les frais d'arrêt, par 550 fr. (cinq cent cinquante francs), sont mis à la charge de A.J.________ et de B.J.________, par moitié chacun, soit 275 fr. (deux cent septante-cinq francs), solidairement entre eux. IV. Le présent arrêt est exécutoire. Le président : La greffière : Du Le présent arrêt, dont la rédaction a été approuvée à huis clos, est notifié, par l'envoi d'une copie complète, à : - M. César Montalto, avocat (pour A.J.________ et B.J.________), - M. Olivier Bastian, avocat (pour A.B.________), - Ministère public central, et communiqué à : - Mme la Procureure de l'arrondissement de Lausanne, par l’envoi de photocopies.</w:t>
      </w:r>
    </w:p>
    <w:p>
      <w:r>
        <w:t>- 7 -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