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PE14.000925 vom 7. Februar 2014</w:t>
      </w:r>
    </w:p>
    <w:p>
      <w:r>
        <w:t>VD Tribunal cantonal, 2014-02-07, FR</w:t>
      </w:r>
    </w:p>
    <w:p>
      <w:r>
        <w:rPr>
          <w:b/>
        </w:rPr>
        <w:t xml:space="preserve">Quelle: </w:t>
      </w:r>
      <w:r>
        <w:t>https://mcp.opencaselaw.ch/entscheid/vd_gerichte_PE14.000925</w:t>
      </w:r>
    </w:p>
    <w:p>
      <w:r>
        <w:t>FR: VD_GERICHTE PE14.000925 du 7 février 2014</w:t>
      </w:r>
    </w:p>
    <w:p>
      <w:r>
        <w:t>IT: VD_GERICHTE PE14.000925 del 7 febbraio 2014</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La décision du Ministère public désignant un défenseur d'office peut également faire l'objet d'un recours (Lieber, in: Donatsch/Hansjakob/Lieber, Kommentar zur Schweizerischer Strafprozessordnung [StPO], Zurich 2010, n. 8 ad art. 133 CPP; Schmid, Schweizerische Strafprozessordnung, PraxisKommentar, Zurich 2009, n. 3 ad art. 133 CPP). En effet, le prévenu peut avoir un intérêt juridiquement protégé à recourir, même lorsqu'on lui désigne un défenseur d'office, notamment pour contester le choix de celui-ci ou pour éviter les conséquences financières d'une telle désignation. Ce recours s’exerce auprès de l’autorité de recours (cf. art. 20 al. 1 let. b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satisfait aux conditions de forme posées par l’art. 385 al. 1 CPP.</w:t>
      </w:r>
    </w:p>
    <w:p>
      <w:r>
        <w:rPr>
          <w:b/>
        </w:rPr>
        <w:t>E. 2</w:t>
      </w:r>
    </w:p>
    <w:p>
      <w:r>
        <w:t>Le recourant fait grief au procureur de lui avoir imposé un défenseur d’office. Il souhaite pouvoir assurer seul la défense de ses intérêts. a) En dehors des cas de défense obligatoire au sens de l’art. 130 CPP – hypothèses non réalisées en l’espèce –, la direction de la procédure ordonne une défense d’office si le prévenu ne dispose pas des</w:t>
      </w:r>
    </w:p>
    <w:p>
      <w:r>
        <w:t>- 4 - moyens nécessaires et que l’assistance d’un défenseur est justifiée pour sauvegarder ses intérêts (art. 132 al. 1 let. b CPP). Ces deux conditions sont cumulatives (Harari/Aliberti, op. cit., n. 55 ad art. 132 CPP) et reprennent largement la jurisprudence du Tribunal fédéral en matière d'assistance judiciaire (TF 1B_477/2011 du 4 janvier 2012 c. 2.2).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1B_107/2013 du 21 mai 2013 c. 2.1;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w:t>
      </w:r>
    </w:p>
    <w:p>
      <w:r>
        <w:t>- 5 - 1B_359/2010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b) En l’espèce, il ressort des pièces du dossier (cf. rapports de police des 4 et 9 janvier 2014, P. 7 et 8) que F.________ est rentier AI. L’indigence du prévenu est ainsi établie. S’agissant de la deuxième condition posée par l’art. 132 al. 1 let. b CPP, le comportement de F.________ laisse penser que l’on peut avoir des doutes sur sa responsabilité pénale : il consomme régulièrement de l’alcool et a occupé les services de police à plusieurs reprises durant les derniers mois alors qu’il était sous l’effet de l’alcool (cf. P.6). Il ressort également du rapport établi à la suite de l’intervention du 6 janvier 2014 que F.________ a déféqué ce jour-là dans son pantalon, étalant ses excréments sur la porte et les murs du box dans lequel il était maintenu en attendant qu’il se calme (P.7). Dans ces circonstances, la désignation d’un défenseur d’office est nécessaire pour sauvegarder les intérêts du prévenu. L’ordonnance rendue par le Procureur de l’arrondissement de La Côte est ainsi bien fondée</w:t>
      </w:r>
    </w:p>
    <w:p>
      <w:r>
        <w:rPr>
          <w:b/>
        </w:rPr>
        <w:t>E. 3</w:t>
      </w:r>
    </w:p>
    <w:p>
      <w:r>
        <w:t>En définitive, le recours doit être rejeté et l’ordonnance litigieuse confirmée. Les frais d’arrêt, par 550 fr. (art. 20 al. 1 TFJP [Tarif des frais judiciaires pénaux; RSV 312.03.1]), seront mis à la charge du recourant qui succombe (art. 428 al. 1 CPP).</w:t>
      </w:r>
    </w:p>
    <w:p>
      <w:r>
        <w:t>- 6 - Par ces motifs, la Chambre des recours pénale, statuant à huis clos, prononce : I. Le recours est rejeté. II. L’ordonnance rendue le 7 février 2014 par le Procureur de l’arrondissement de La Côte est confirmée. III. Les frais d’arrêt, par 550 fr. (cinq cent cinquante francs), sont mis à la charge de F.________. IV. Le présent arrêt est exécutoire. Le président : La greffière : Du L'arrêt qui précède, dont la rédaction a été approuvée à huis clos, est notifié, par l'envoi d'une copie complète, à : - F.________, - Me Mathias Burnand, avocat (pour F.________),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- 7 -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