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PE13.026846 vom 8. April 2014</w:t>
      </w:r>
    </w:p>
    <w:p>
      <w:r>
        <w:t>VD Tribunal cantonal, 2014-04-08, FR</w:t>
      </w:r>
    </w:p>
    <w:p>
      <w:r>
        <w:rPr>
          <w:b/>
        </w:rPr>
        <w:t xml:space="preserve">Quelle: </w:t>
      </w:r>
      <w:r>
        <w:t>https://mcp.opencaselaw.ch/entscheid/vd_gerichte_PE13.026846</w:t>
      </w:r>
    </w:p>
    <w:p>
      <w:r>
        <w:t>FR: VD_GERICHTE PE13.026846 du 8 avril 2014</w:t>
      </w:r>
    </w:p>
    <w:p>
      <w:r>
        <w:t>IT: VD_GERICHTE PE13.026846 del 8 aprile 2014</w:t>
      </w:r>
    </w:p>
    <w:p>
      <w:pPr>
        <w:pStyle w:val="Heading2"/>
      </w:pPr>
      <w:r>
        <w:t>Erwägungen</w:t>
      </w:r>
    </w:p>
    <w:p>
      <w:r>
        <w:rPr>
          <w:b/>
        </w:rPr>
        <w:t>E. 1</w:t>
      </w:r>
    </w:p>
    <w:p>
      <w:r>
        <w:t>Interjeté en temps utile (art. 322 al. 2 CPP [Code de procédure pénale suisse du 5 octobre 2007 ; RS 312.0], applicable par renvoi de l’art. 310 al. 2 CPP) contre une ordonnance de non-entrée en matière du ministère public (art. 310 et 393 al. 1 let. a CPP), par la partie plaignante qui a qualité pour recourir (art. 382 al. 1 CPP), le recours est recevable.</w:t>
      </w:r>
    </w:p>
    <w:p>
      <w:r>
        <w:rPr>
          <w:b/>
        </w:rPr>
        <w:t>E. 2</w:t>
      </w:r>
    </w:p>
    <w:p>
      <w:r>
        <w:t>a) Aux termes de l'art. 310 al. 1 CPP, une ordonnance de non-entrée en matière est rendue immédiatement – c’est-à-dire sans qu’une instruction soit ouverte (art. 309 al. 1 et 4 CPP; TF 1B_111/2012 du</w:t>
      </w:r>
    </w:p>
    <w:p>
      <w:r>
        <w:rPr>
          <w:b/>
        </w:rPr>
        <w:t>E. 5</w:t>
      </w:r>
    </w:p>
    <w:p>
      <w:r>
        <w:t>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t>- 4 - b)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ATF 129 IV 6 c. 3.4; ATF 119 IV 301 c.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 1a; ATF 120 IV 17 c. 2a/aa). Sur le plan subjectif, il faut que l’auteur ait agi avec conscience et volonté, soit au moins qu’il ait accepté l’éventualité que le procédé illicite employé entrave le destinataire dans sa liberté de décision (ATF 120 IV 17 c. 2c; TF 6B_38/2011 c. 2.2.1 du 26 avril 2011). Selon la jurisprudence du Tribunal fédéral,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(pour le tout: TF 6S.853/2000 du 9 mai 2001 c. 4c, cf. également TF 6B_281/2013 du 16 juillet 2013 c. 1.1.2).</w:t>
      </w:r>
    </w:p>
    <w:p>
      <w:r>
        <w:t>- 5 - c) En l’espèce, la Caisse de compensation G.________, qui conteste toutes les prétentions de J.________, doit être assimilée à une autorité. On ne saurait dès lors lui prêter, comme à une personne physique, une « sensibilité moyenne », qui l’exposerait, à réception d’un commandement de payer jugé infondé, à des tourments d’ordre psychologique. La démarche de J.________ est sans doute inadéquate. Elle est probablement une source d’importants tracas pour ceux qui sont chargés de la gestion d’une caisse de compensation. Pour désagréable qu’elle soit, elle n’est cependant pas à même d’entraver la liberté de décision de cette dernière. A cet égard, la présente cause diffère des cas soumis au Tribunal fédéral. Dans les arrêts susmentionnés, en effet, les commandements de payer étaient notifiés respectivement au directeur général d’une banque (pour un montant de plus de 14 millions de francs) et à un avocat (pour un montant de 250'000 fr.), chaque fois dans le cadre de litiges préexistants. En outre, le procédé litigieux n’a pas la même portée pour la recourante que pour un avocat ou un directeur de banque. Une caisse de compensation n’a pas, comme une personne physique, à présenter un extrait délivré par l’office des poursuites pour obtenir certaines prestations (conclusion d’un contrat de bail, recherche d’un emploi etc.) ou à maintenir le crédit dont elle jouirait dans le domaine commercial. En résumé, dans les circonstances du cas concret, la notification d’un commandement de payer à une caisse de compensation n’était pas propre à l’impressionner au point de l’entraver dans sa liberté de décision ou d’action. Les éléments constitutifs de l’infraction de contrainte n’étant pas réalisés, celle-ci ne peut pas non plus être envisagée sous forme de tentative (art. 22 CP). C’est par conséquent à bon droit que le procureur a rendu une ordonnance de non-entrée en matière. 3. En définitive, le recours doit être rejeté et l’ordonnance attaquée confirmée.</w:t>
      </w:r>
    </w:p>
    <w:p>
      <w:r>
        <w:t>- 6 - Les frais de la procédure de recours, constitués du seul émolument d'arrêt, par 550 fr. (art. 20 al. 1 TFIP [tarif des frais judiciaires et indemnités en matière pénale; RSV 312.03.1]), seront mis à la charge de la recourante, qui succombe (art. 428 al. 1 CPP). Par ces motifs, la Chambre des recours pénale, statuant à huis clos, prononce : I. Le recours est rejeté. II. L’ordonnance du 12 février 2014 est confirmée. III. Les frais d’arrêt, par 550 fr. (cinq cent cinquante francs), sont mis à la charge de la Caisse de compensation G.________. IV. Le présent arrêt est exécutoire. Le président : Le greffier : Du L'arrêt qui précède, dont la rédaction a été approuvée à huis clos, est notifié, par l'envoi d'une copie complète, à : - Caisse de compensation G.________, - Ministère public central, et communiqué à : - M. le Procureur de l’arrondissement de La Côte, par l’envoi de photocopies. Le présent arrêt peut faire l'objet d'un recours en matière pénale devant le Tribunal fédéral au sens des art. 78 ss LTF (loi du 17 juin</w:t>
      </w:r>
    </w:p>
    <w:p>
      <w:r>
        <w:t>- 7 - 2005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