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PE13.026799 vom 24. Dezember 2013</w:t>
      </w:r>
    </w:p>
    <w:p>
      <w:r>
        <w:t>VD Tribunal cantonal, 2013-12-24, FR</w:t>
      </w:r>
    </w:p>
    <w:p>
      <w:r>
        <w:rPr>
          <w:b/>
        </w:rPr>
        <w:t xml:space="preserve">Quelle: </w:t>
      </w:r>
      <w:r>
        <w:t>https://mcp.opencaselaw.ch/entscheid/vd_gerichte_PE13.026799</w:t>
      </w:r>
    </w:p>
    <w:p>
      <w:r>
        <w:t>FR: VD_GERICHTE PE13.026799 du 24 décembre 2013</w:t>
      </w:r>
    </w:p>
    <w:p>
      <w:r>
        <w:t>IT: VD_GERICHTE PE13.026799 del 24 dicembre 2013</w:t>
      </w:r>
    </w:p>
    <w:p>
      <w:pPr>
        <w:pStyle w:val="Heading2"/>
      </w:pPr>
      <w:r>
        <w:t>Erwägungen</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b) En l’espèce, compte tenu des éléments au dossier, il existe une présomption suffisamment sérieuse de culpabilité à l’encontre de T.________, ce que ce dernier ne conteste d’ailleurs pas.</w:t>
      </w:r>
    </w:p>
    <w:p>
      <w:r>
        <w:rPr>
          <w:b/>
        </w:rPr>
        <w:t>E. 3</w:t>
      </w:r>
    </w:p>
    <w:p>
      <w:r>
        <w:t>a) Le recourant conteste toutefois le risque de récidive, en particulier que l’on puisse considérer que les infractions reprochées constituent des délits graves compromettant sérieusement la sécurité d’autrui au sens de l’art. 221 al. 1 let. c CPP.</w:t>
      </w:r>
    </w:p>
    <w:p>
      <w:r>
        <w:t>- 4 - b)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après avoir déjà commis des infractions du même genre (137 IV 84 c. 3.2, JT 2011 IV 325).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op. cit.). D’après la jurisprudence fédérale, les vols par effraction revêtent la gravité nécessaire pour menacer l’ordre public du fait que la situation peut dégénérer, car la réaction d’un cambrioleur peut être imprévisible et il n’est pas exclu qu’il s’en prenne physiquement à des tiers s’il rencontre de la résistance, pour échapper à son interpellation ou sous l’effet de la panique (TF 1B_731/2011 du 16 janvier 2012 c. 3.3). Ainsi, selon la jurisprudence de la Cour de céans, lorsqu’un prévenu est fortement soupçonné d’avoir commis plus de quarante vols dans des véhicules, dont un certain nombre avec effraction, et qu’il est susceptible d’être condamné pour vol par métier, on doit admettre qu’il compromet sérieusement la sécurité publique par l’ampleur de son activité criminelle</w:t>
      </w:r>
    </w:p>
    <w:p>
      <w:r>
        <w:t>- 5 - (CREP 8 mai 2012/221 c. 2c). Il en va de même de la commission à réitérées reprises de dommages à la propriété (CREP 18 juillet 2013/435 c. 3c). Le Tribunal fédéral a également retenu que si un vol à la tire d'un porte-monnaie ne constituait pas en soi un délit grave, il pouvait cependant être tenu compte du nombre important d'infractions commises et de leur fréquence pour apprécier leur gravité (TF 1B_730/2012 du 19 décembre 2012 c. 3.2). L’ampleur de l’activité criminelle doit également être prise en compte à l'aune de l’art. 221 al. 1 let. c CPP. Le Tribunal fédéral a ainsi statué que l'on pouvait aussi retenir un risque de réitération lorsqu’il s’agissait, conformément au principe de célérité, d’éviter que la procédure ne soit sans cesse compliquée et prolongée par la commission de nouveaux délits (TF 1B_344/2012 du 19 juin 2012 c. 3.2). Ce risque avait été admis dans le cas d'espèce, qui concernait une procédure ouverte au mois de novembre 2010 et au cours de laquelle le recourant avait récidivé à chaque fois qu’il s’était trouvé en liberté (ibid.). c) En l’espèce, T.________ a déjà été condamné à huit reprises depuis 2004, dont cinq fois pour vol et dommages à la propriété depuis 2010. Ces condamnations, en particulier deux peines privatives de liberté fermes de 30 et 90 jours prononcées les 19 mars et 19 juillet 2013, ne l’ont toutefois pas dissuadé de récidiver. En effet, le recourant a commis récemment de nombreux vols dans des véhicules, plusieurs objets correspondant à une vingtaine de plaintes déposées ayant été découverts à son domicile. Pris isolément, un acte de vol par effraction n’est pas un délit grave au sens de l’art. 221 al. 1 let. c CPP. Toutefois, dans le cas concret, la multiplication de cet acte permet de retenir la circonstance de gravité exigée pour les délits conformément à la jurisprudence du Tribunal fédéral (cf. c. 3b supra). Dans ces conditions, on peut admettre que l'activité délictueuse déployée par le recourant est de nature à compromettre sérieusement la sécurité au sens de l'art. 221 al. 1 let. c CPP. Aucune</w:t>
      </w:r>
    </w:p>
    <w:p>
      <w:r>
        <w:t>- 6 - mesure de substitution n’est à même de prévenir le risque retenu, en particulier l’intensification d’un suivi auprès du Centre thérapeutique de jour des [...], de sorte qu’il se justifie d’ordonner le maintien de T.________ en détention provisoire.</w:t>
      </w:r>
    </w:p>
    <w:p>
      <w:r>
        <w:rPr>
          <w:b/>
        </w:rPr>
        <w:t>E. 4</w:t>
      </w:r>
    </w:p>
    <w:p>
      <w:r>
        <w:t>a) 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T.________ est détenu depuis le 22 décembre 2013, soit depuis un peu plus de quinze jours. Compte tenu des actes qui lui sont reprochés, le recourant s'expose à une peine privative de liberté d’une durée manifestement supérieure à celle de la détention provisoire subie à ce jour. Au vu de ces éléments, le principe de proportionnalité de la détention provisoire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de T.________, qui succombe (art. 428 al. 1 CPP).</w:t>
      </w:r>
    </w:p>
    <w:p>
      <w:r>
        <w:t>- 7 -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24 décembre 2013 est confirmée. III. L'indemnité allouée au défenseur d'office de T.________ est fixée à 583 fr. 20 (cinq cent huitante-trois francs et vingt centimes). IV. Les frais du présent arrêt, par 770 fr. (sept cent septante francs), ainsi que l’indemnité due au défenseur d’office de T.________, par 583 fr. 20 (cinq cent huitante-trois francs et vingt centimes), sont mis à la charge de ce dernier. V. Le remboursement à l'Etat de l'indemnité allouée au chiffre III ci-dessus sera exigible pour autant que la situation économique de T.________ se soit améliorée. VI. Le présent arrêt est exécutoire. Le président : La greffière :</w:t>
      </w:r>
    </w:p>
    <w:p>
      <w:r>
        <w:t>- 8 - Du L'arrêt qui précède, dont la rédaction a été approuvée à huis clos, est notifié, par l'envoi d'une copie complète, à : - Mme Irène Schmidlin, avocate (pour T.________),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