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PE13.026305 vom 21. April 2015</w:t>
      </w:r>
    </w:p>
    <w:p>
      <w:r>
        <w:t>VD Tribunal cantonal, 2015-04-21, FR</w:t>
      </w:r>
    </w:p>
    <w:p>
      <w:r>
        <w:rPr>
          <w:b/>
        </w:rPr>
        <w:t xml:space="preserve">Quelle: </w:t>
      </w:r>
      <w:r>
        <w:t>https://mcp.opencaselaw.ch/entscheid/vd_gerichte_PE13.026305</w:t>
      </w:r>
    </w:p>
    <w:p>
      <w:r>
        <w:t>FR: VD_GERICHTE PE13.026305 du 21 avril 2015</w:t>
      </w:r>
    </w:p>
    <w:p>
      <w:r>
        <w:t>IT: VD_GERICHTE PE13.026305 del 21 aprile 2015</w:t>
      </w:r>
    </w:p>
    <w:p>
      <w:pPr>
        <w:pStyle w:val="Heading2"/>
      </w:pPr>
      <w:r>
        <w:t>Erwägungen</w:t>
      </w:r>
    </w:p>
    <w:p>
      <w:r>
        <w:rPr>
          <w:b/>
        </w:rPr>
        <w:t>E. 4</w:t>
      </w:r>
    </w:p>
    <w:p>
      <w:r>
        <w:t>L’appelant conteste la peine prononcée à son encontre. Il soutient que celle-ci est excessive et que les premiers juges n’auraient pas suffisamment tenu compte de sa collaboration en cours d’enquête et des regrets exprimés.</w:t>
      </w:r>
    </w:p>
    <w:p>
      <w:r>
        <w:rPr>
          <w:b/>
        </w:rPr>
        <w:t>E. 4.1</w:t>
      </w:r>
    </w:p>
    <w:p>
      <w:r>
        <w:t>Les règles générales régissant la fixation de la peine ont été rappelées dans les arrêts publiés aux ATF 136 IV 55 et 134 IV 17 (c. 2.1 et les références citées), auxquels il peut être renvoyé.</w:t>
      </w:r>
    </w:p>
    <w:p>
      <w:r>
        <w:t>- 20 -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(cf. ancien art. 19 ch. 2 let. a LStup ; ATF 138 IV 100 c. 3.2; TF 6B_632/2014 du 27 octobre 2014 c. 1.2 et les références citées).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ATF 121 IV 193 c. 2b/aa; TF 6B_632/2014 précité c. 1.2).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(TF 6B_632/2014 précité c. 1.2; TF 6B_107/2013 du 15 mai 2013 c. 2.1.1 et les références citées).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ATF 118</w:t>
      </w:r>
    </w:p>
    <w:p>
      <w:r>
        <w:t>- 21 - IV 342 c. 2d ; TF 6B_567/2012 du 18 décembre 2012 c. 3.2 et les références citées).</w:t>
      </w:r>
    </w:p>
    <w:p>
      <w:r>
        <w:rPr>
          <w:b/>
        </w:rPr>
        <w:t>E. 4.2</w:t>
      </w:r>
    </w:p>
    <w:p>
      <w:r>
        <w:t>En l’espèce, la culpabilité de l’appelant doit être qualifiée de lourde. En effet, en quelques mois seulement, il a écoulé une importante quantité de cocaïne pure et venait d’en acquérir 155 grammes supplémentaires juste avant son interpellation. La dernière livraison, qu’il a reçue à son domicile par l’intermédiaire d’une mule ayant effectué le trajet depuis un fournisseur en Hollande, est significative de l’importance que l’appelant avait acquise dans le trafic de stupéfiants ; il pouvait obtenir des livraisons portant sur des quantités proches du demi-kilo de cocaïne et il avait des contacts internationaux, étant précisé que l’essentiel du trafic de l’appelant a eu lieu en Suisse. Par ailleurs, il n’était pas un petit revendeur de rue, puisqu’il ne faisait affaire qu’avec des autres revendeurs africains, après avoir coupé sa marchandise pour maximiser son profit. Malgré son absence d’activité lucrative dans notre pays, le produit de son activité délictueuse, qui constituait dès lors son seul revenu, lui a permis de s’assurer une vie confortable dans un studio dont le loyer s’élevait à 1'000 fr. et d’envoyer d’importantes sommes d’argent à l’étranger. A charge, on retiendra encore le concours d’infractions ainsi que le fait que l’appelant est demeuré en Suisse et a recommencé à commettre des infractions malgré une première condamnation en 2012 à une peine de six mois de privation de liberté avec sursis. Il a manifestement agi par appât du gain. Contrairement à ce que soutient l’appelant, il n’y a pas matière à retenir sa bonne collaboration à l’établissement des faits ; d’abord, il ne les a reconnus qu’une fois les preuves présentées – notamment les écoutes téléphoniques ainsi que les mises en cause des trafiquants et des consommateurs — et encore que partiellement, dès lors qu’il en conteste encore une partie aujourd’hui. Enfin, comme l’ont à juste titre relevé les premiers juges, les revirements à l’audience de jugement montrent que la prise de conscience est encore loin d’être complète. A décharge, il y a lieu de tenir compte de la situation personnelle de l’appelant, migrant africain qui s’est retrouvé dans une</w:t>
      </w:r>
    </w:p>
    <w:p>
      <w:r>
        <w:t>- 22 - situation précaire depuis son départ d’Afrique, ainsi que des aveux partiels consentis lors de l’enquête et du fait que l’appelant était lui-même consommateur sans être toutefois dépendant. Tout bien considéré, la peine privative de liberté de 54 mois prononcée par les premiers juges est adéquate et doit être confirmée, de même que l’amende de 500 fr., convertible en 5 jours de peine privative de liberté de substitution en cas de non paiement fautif, sanctionnant la consommation de stupéfiants. La détention avant jugement sera déduite, de même que onze jours de détention à titre de réparation du tort moral causé par la détention subie dans des conditions illicites.</w:t>
      </w:r>
    </w:p>
    <w:p>
      <w:r>
        <w:rPr>
          <w:b/>
        </w:rPr>
        <w:t>E. 4.4</w:t>
      </w:r>
    </w:p>
    <w:p>
      <w:r>
        <w:t>et les arrêts cités). Dans l'appréciation des perspectives d'amendement à laquelle il doit procéder pour décider de la révocation d'un sursis antérieur, le juge</w:t>
      </w:r>
    </w:p>
    <w:p>
      <w:r>
        <w:t>- 23 -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précité c. 4.5). Ainsi, un critère déterminant pour juger du risque de réitération et, partant, pour poser le pronostic prévu par la loi est celui de l'effet de choc et d'avertissement issu de la condamnation précédente, y compris en ce qui concerne l'aménagement ultérieur de la vie de l'intéressé ; s'il est avéré, un tel effet constitue un facteur favorable – même s'il n'est pas déterminant à lui seul – dans l'examen du pronostic (cf. ATF 134 IV 140 c. 5.3).</w:t>
      </w:r>
    </w:p>
    <w:p>
      <w:r>
        <w:rPr>
          <w:b/>
        </w:rPr>
        <w:t>E. 5</w:t>
      </w:r>
    </w:p>
    <w:p>
      <w:r>
        <w:t>L’appelant conteste enfin la révocation du sursis accordé le 31 août 2012 faisant valoir que cette révocation est disproportionnée en raison de la lourde condamnation prononcée dans la présente affaire et du caractère différent des causes, la précédente condamnation faisant suite à une bagarre.</w:t>
      </w:r>
    </w:p>
    <w:p>
      <w:r>
        <w:rPr>
          <w:b/>
        </w:rPr>
        <w:t>E. 5.1</w:t>
      </w:r>
    </w:p>
    <w:p>
      <w:r>
        <w:t>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 4.3). Elle correspond donc à l'une des conditions de l'octroi du sursis, de sorte que, comme dans ce dernier cas, le pronostic à émettre doit reposer sur une appréciation d'ensemble de tous les éléments pertinents (arrêt précité c.</w:t>
      </w:r>
    </w:p>
    <w:p>
      <w:r>
        <w:rPr>
          <w:b/>
        </w:rPr>
        <w:t>E. 5.2</w:t>
      </w:r>
    </w:p>
    <w:p>
      <w:r>
        <w:t>En l’espèce, la révocation du sursis précédent s’impose, même s’il s’agit d’infractions en partie différentes. L’appelant a récidivé en commettant des actes graves durant le délai d’épreuve. S’il a été interpellé quelques mois avant la fin du délai d’épreuve, son activité délictueuse a commencé dès le début de celui-ci. Son comportement – en particulier les dénégations de l’appelant en cours d’enquête mais surtout aux débats de première instance après plus d’une année de détention provisoire – démontre que l’appelant n’a opéré aucune réflexion en raison de sa détention et que sa prise de conscience est insuffisante pour considérer que l’exécution de la peine principale suffirait à le dissuader de commettre de nouvelles infractions. Mal fondé, le moyen doit être rejeté.</w:t>
      </w:r>
    </w:p>
    <w:p>
      <w:r>
        <w:rPr>
          <w:b/>
        </w:rPr>
        <w:t>E. 6</w:t>
      </w:r>
    </w:p>
    <w:p>
      <w:r>
        <w:t>Le Ministère public, appelant par voie de jonction, considère que la peine prononcée par les premiers juges trop clémente et qu’une peine privative de liberté de cinq ans devrait être prononcée.</w:t>
      </w:r>
    </w:p>
    <w:p>
      <w:r>
        <w:rPr>
          <w:b/>
        </w:rPr>
        <w:t>E. 6.1</w:t>
      </w:r>
    </w:p>
    <w:p>
      <w:r>
        <w:t>Les critères de fixation de la peine ont déjà été énoncés aux considérants 4.1 et 4.2 ci-dessus.</w:t>
      </w:r>
    </w:p>
    <w:p>
      <w:r>
        <w:t>- 24 - Comme déjà dit, les premiers juges n’ont ignoré aucun des éléments pertinents pour la fixation de la peine et celle-ci est adéquate.</w:t>
      </w:r>
    </w:p>
    <w:p>
      <w:r>
        <w:rPr>
          <w:b/>
        </w:rPr>
        <w:t>E. 7</w:t>
      </w:r>
    </w:p>
    <w:p>
      <w:r>
        <w:t>En définitive, l’appel de X.________ et l’appel joint du Ministère public doivent être rejetés. Vu l’issue de la cause, les frais d’appel seront mis par moitié à la charge de X.________, le solde étant laissé à la charge de l’Etat (art. 428 al. 1, 1re phrase, CPP). Outre l'émolument, par 2’270 fr. (art. 21 al. 1 et 2 TFIP [Tarif des frais de procédure et indemnités en matière pénale du 28 septembre 2010; RSV 312.03.1]), ces frais comprennent l’indemnité allouée au défenseur d’office de l’appelant. A cet égard, Me Céline Jarry-Lacombe a produit une liste d’opérations faisant état de 20,43 heures d’activité (P. 122). Compte tenu de la nature de la cause, de la connaissance du dossier acquise en première instance et des opérations nécessaires pour la défense des intérêts de son client, le nombre d’heures annoncé s’avère trop élevé, en particulier s’agissant des heures facturées au titre de « suivi du dossier ». Tout bien considéré, il sera tenu compte de 15 heures d’activité, de deux vacations à 120 fr. et de débours par 50 francs. C’est donc une indemnité de 3'229 fr. 20, y compris la TVA, qui doit être allouée pour la procédure d’appel. Le prévenu ne sera tenu de rembourser à l’Etat la part mise à sa charge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