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PE13.025400 vom 6. Dezember 2013</w:t>
      </w:r>
    </w:p>
    <w:p>
      <w:r>
        <w:t>VD Tribunal cantonal, 2013-12-06, FR</w:t>
      </w:r>
    </w:p>
    <w:p>
      <w:r>
        <w:rPr>
          <w:b/>
        </w:rPr>
        <w:t xml:space="preserve">Quelle: </w:t>
      </w:r>
      <w:r>
        <w:t>https://mcp.opencaselaw.ch/entscheid/vd_gerichte_PE13.025400</w:t>
      </w:r>
    </w:p>
    <w:p>
      <w:r>
        <w:t>FR: VD_GERICHTE PE13.025400 du 6 décembre 2013</w:t>
      </w:r>
    </w:p>
    <w:p>
      <w:r>
        <w:t>IT: VD_GERICHTE PE13.025400 del 6 dicembre 2013</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w:t>
      </w:r>
    </w:p>
    <w:p>
      <w:r>
        <w:t>- 3 -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Par arrêt du 16 décembre 2013, la Chambre des recours pénale a rejeté le recours du prévenu tendant à sa libération immédiate de la détention provisoire. S’agissant des présomptions de culpabilité, il convient de se référer aux considérants de cet arrêt, suivant un procédé admissible (cf., dans ce sens, ATF 114 Ia 281 c. 4c; TF 1B_501/2012 du 10 octobre 2012 c. 3.2; TF 1B_149/2010 du 1er juin 2010 c. 1.3 et les références citées ; CREP 9 mars 2012/102). On rappellera donc que le recourant, né en 1995, est soupçonné d’avoir, depuis janvier 2013, injurié et menacé de mort sa compagne, la plaignante F.________, ainsi que sa famille, de l’avoir, dès août 2013, harcelée par SMS et d’avoir brisé la porte d’entrée du logis de son amie, après s’être violemment emporté parce que la mère de celle-ci n’avait pas laissé lui parler. Le 3 décembre 2013, le prévenu aurait laissé entendre à sa mère qu’il allait tuer la plaignante et aurait quitté le domicile parental, un couteau à viande glissé dans sa sacoche, en refusant de dire à la police où il se trouvait. Les soupçons contre le recourant résultent en particulier de ses déclarations, l’intéressé admettant pour l’essentiel les faits qui lui sont reprochés. Il existe dès lors des présomptions de culpabilité suffisantes.</w:t>
      </w:r>
    </w:p>
    <w:p>
      <w:r>
        <w:rPr>
          <w:b/>
        </w:rPr>
        <w:t>E. 3</w:t>
      </w:r>
    </w:p>
    <w:p>
      <w:r>
        <w:t>L’ordonnance attaquée se fonde sur le risque de récidive (art. 221 al. 1 let. c CPP).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w:t>
      </w:r>
    </w:p>
    <w:p>
      <w:r>
        <w:t>- 4 - 1B_39/2013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 recourant fait valoir que le résultat des mesures techniques mises en œuvre ne permettrait plus de retenir le risque de récidive. En effet, l’examen des messages téléphoniques qu’il a échangés avec la plaignante et la mère de celle-ci tendraient à démontrer que leurs déclarations le mettant en cause sont largement exagérées, voire mensongères. Dans l’appréciation de la cause au fond, ces éléments peuvent certes apporter un éclairage différent. Ils ne permettent toutefois pas de nier l’existence de soupçons suffisants ni d’écarter le risque de récidive. Celui-ci repose en effet sur d’autres faits que les messages téléphoniques échangés, en particulier sur les propres déclarations du recourant. Lors de son interrogatoire de police, le prévenu a en effet admis qu’il était suivi psychiquement, qu’il ne maîtrisait pas ses accès de colère, notamment parce qu’il avait arrêté de prendre ses médicaments, qu’il s’était emporté au domicile familial et y avait brisé du mobilier. Il a reconnu qu’il avait menacé, devant sa mère, de tuer la plaignante et sa famille, avant de quitter le domicile familial en possession d’un couteau à viande. Il a également admis avoir tenté de forcer la porte d’entrée du domicile de la plaignante, avoir proféré des menaces de mort et des</w:t>
      </w:r>
    </w:p>
    <w:p>
      <w:r>
        <w:t>- 5 - injures contre la plaignante et avoir giflé celle-ci à deux reprises. Il a confirmé ses déclarations devant le Ministère public. Quant au père du recourant, il a explqiué à la police que son fils souffrait de troubles psychiques, qu’il avait à diverses reprises brisé du mobilier à la maison et qu’il ne parvenait pas à se dominer. Il a également confirmé que son fils avait quitté le domicile familial après avoir occasionné des dégâts et s’être muni d’un couteau à viande, en annonçant qu’il allait tuer la plaignante et sa famille. Il sentait son fils capable de passer à l’acte. On relève, en outre, que le Tribunal des mineurs a condamné le recourant à deux reprises le 13 août 2013, d’une part pour agression et menaces, à 20 demi-journées de prestations personnelles à exécuter sous forme de travail, révoquant le sursis accordé par jugement du 23 novembre 2010 et ordonnant l’exécution de 4 demi-journées de prestations personnelles, et d’autre part, pour lésions corporelles simples et agression, à un mois de privation de liberté avec sursis pendant 18 mois. Le tribunal a rapporté les difficultés du recourant à garder le contrôle de ses émotions et son très bas seuil de tolérance à la frustration. Enfin, le recourant fait l’objet, depuis le 3 septembre 2013, d’une procédure devant le Tribunal des mineurs pour diverses infractions à la législation routière. Dans ces circonstances, et en tout cas tant qu’on n’en saura pas davantage sur le psychisme du prévenu, il y a lieu de craindre qu’il ne s’en prenne à l’intégrité physique de la plaignante ou de ses proches. Il importe toutefois que l’expert psychiatre, mis en œuvre le 11 décembre 2013, fasse connaître au plus vite ses premières conclusions, même oralement, sur le risque de réitération. c) Quant aux mesures de substitution requises à titre subsidiaire par le recourant (interdiction de se rendre au domicile de la plaignante et d’entretenir avec elle quelque contact que ce soit ; obligation de se soumettre à un traitement médical, comprenant la reprise</w:t>
      </w:r>
    </w:p>
    <w:p>
      <w:r>
        <w:t>- 6 - de la médication), elles ne paraissent en l’état pas propres à prévenir le risque de récidive, faute d’encadrement suffisant.</w:t>
      </w:r>
    </w:p>
    <w:p>
      <w:r>
        <w:rPr>
          <w:b/>
        </w:rPr>
        <w:t>E. 4</w:t>
      </w:r>
    </w:p>
    <w:p>
      <w:r>
        <w:t>Pour le surplus, la proportionnalité des intérêts en présence est respectée, compte tenu de la durée de la détention provisoire subie par le recourant, de la gravité des infractions qui lui sont reprochées ainsi que de ses antécédents (ATF 133 I 168 c. 4.1 ; ATF 132 I 21 c. 4.1). Ce point n’est pas contesté.</w:t>
      </w:r>
    </w:p>
    <w:p>
      <w:r>
        <w:rPr>
          <w:b/>
        </w:rPr>
        <w:t>E. 5</w:t>
      </w:r>
    </w:p>
    <w:p>
      <w:r>
        <w:t>En définitive, le recours, manifestement mal fondé (art. 390 al. 2 CPP), doit être rejeté sans autres échanges d’écritures et l'ordonnance du 3 février 2014 confirmée. Les frais de la procédure de recours, par 660 fr. (art. 20 al. 1 TFJP [Tarif des frais judiciaires pénaux du 28 septembre 2010, RSV 312.03.1]), ainsi que les frais imputables à la défense d’office (art. 422 al. 1 et al. 2 let. a CPP), fixés à 540 fr., plus la TVA, par 43 fr. 20, soit 583 fr. 20 au total, seront mis à la charge du recourant, qui succombe (art. 428 al. 1 CPP). Par ces motifs, la Chambre des recours pénale, statuant à huis clos, prononce : I. Le recours est rejeté. II. L’ordonnance du 3 février 2014 est confirmée. III. L’indemnité allouée au défenseur d’office de Q.________ est fixée à 583 fr. 20 (cinq cent huitante-trois francs et vingt centimes). IV. Les frais d’arrêt, par 660 fr. (six cent soixante francs), ainsi que l’indemnité due au défenseur d’office de Q.________, par 583 fr. 20 (cinq cent huitante-trois francs et vingt centimes), sont mis à la charge de ce dernier.</w:t>
      </w:r>
    </w:p>
    <w:p>
      <w:r>
        <w:t>- 7 - V. Le remboursement à l’Etat de l’indemnité allouée au chiffre III ci-dessus sera exigible pour autant que la situation de Q.________ se soit améliorée. VI. Le présent arrêt est exécutoire. Le président : Le greffier : Du L'arrêt qui précède, dont la rédaction a été approuvée à huis clos, est notifié, par l'envoi d'une copie complète, à : - M. Jean-Marc Courvoisier, avocat (pour Q.________)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