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PE13.025275 vom 27. Februar 2014</w:t>
      </w:r>
    </w:p>
    <w:p>
      <w:r>
        <w:t>VD Tribunal cantonal, 2014-02-27, FR</w:t>
      </w:r>
    </w:p>
    <w:p>
      <w:r>
        <w:rPr>
          <w:b/>
        </w:rPr>
        <w:t xml:space="preserve">Quelle: </w:t>
      </w:r>
      <w:r>
        <w:t>https://mcp.opencaselaw.ch/entscheid/vd_gerichte_PE13.025275</w:t>
      </w:r>
    </w:p>
    <w:p>
      <w:r>
        <w:t>FR: VD_GERICHTE PE13.025275 du 27 février 2014</w:t>
      </w:r>
    </w:p>
    <w:p>
      <w:r>
        <w:t>IT: VD_GERICHTE PE13.025275 del 27 febbraio 2014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w:t>
      </w:r>
    </w:p>
    <w:p>
      <w:r>
        <w:t>- 3 - CPP (art. 393 al. 1 let. c CPP), par le prévenu qui a qualité pour recourir (art. 222 CPP, auquel renvoie l’art. 237 al. 4 CPP, et 382 al. 1 CPP) et dans les formes prescrites (art. 385 al. 1 CPP), le recours est recevable.</w:t>
      </w:r>
    </w:p>
    <w:p>
      <w:r>
        <w:rPr>
          <w:b/>
        </w:rPr>
        <w:t>E. 2</w:t>
      </w:r>
    </w:p>
    <w:p>
      <w:r>
        <w:t>L’art. 237 al. 1 CPP dispose que le tribunal compétent ordonne une ou plusieurs mesures moins sévères en lieu et place de la détention provisoire ou de la détention pour des motifs de sûreté si ces mesures permettent d'atteindre le même but que la détention. Parmi ces mesures, l’art. 237 al. 2 CPP – qui dresse une liste exemplative et non exhaustive des mesures possibles (Moreillon/Parein-Reymond, Petit commentaire, Code de procédure pénale, Bâle 2013, n. 12 ad art. 237 CPP) – mentionne notamment la saisie des documents d’identité et autres documents officiels (let. b). Les dispositions sur la détention provisoire et la détention pour des motifs de sûreté s’appliquent par analogie au prononcé des mesures de substitution ainsi qu’au recours contre elles (art. 237 al. 4 CPP). Les mesures de substitution énumérées à l’art. 237 CPP sont un succédané à la détention provisoire; elles poursuivent le même objectif – éviter la fuite, la récidive ou la collusion – tout en étant moins sévères ; le tribunal doit les prononcer à la place de la détention provisoire ou pour des motifs de sûreté si elles permettent d’empêcher la concrétisation du risque (Schmocker, in: Kuhn/Jeanneret [éd.], Commentaire romand, Code de procédure pénale suisse, Bâle 2011, n. 2 ad art. 237 CPP).</w:t>
      </w:r>
    </w:p>
    <w:p>
      <w:r>
        <w:rPr>
          <w:b/>
        </w:rPr>
        <w:t>E. 3</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w:t>
      </w:r>
    </w:p>
    <w:p>
      <w:r>
        <w:t>- 4 - délits graves après avoir déjà commis des infractions du même genre (let. c). b) La mise en détention provisoire n’est possible que s’il existe à l’égard de l’auteur présumé, et préalablement à toute autre cause, de graves soupçons de culpabilité d’avoir commis un crime ou un délit (TF 1B_182/2011 du 5 mai 2011 c. 3.1; Schmocker, op. cit., nn. 7 ss ad art. 221 CPP, pp. 1024 ss). En l’espèce, compte tenu des éléments au dossier, il existe une présomption suffisamment sérieuse de culpabilité à l’encontre de A.________, ce que ce dernier ne conteste d’ailleurs pas. c) Le recourant conteste en revanche l’existence d’un risque de fuite (art. 221 al. 1 let. a CPP). Il soutient qu’il doit suivre en permanence un lourd traitement médical en raison de la greffe de ses deux reins qu’il a subie et du HIV dont il est porteur. Il explique qu’il se rend ainsi chaque mois au CHUV afin de prendre les médicaments dont il a besoin quotidiennement et que sans son traitement médicamenteux, il s’exposerait à un réel risque de mort. Il indique également vivre en Suisse depuis plusieurs années et avoir un travail.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En l’espèce, le recourant, ressortissant nigérian, est titulaire d’un permis F, soit d’une admission provisoire en Suisse pour des motifs de santé. Il a en effet subi une transplantation des deux reins et suit un traitement médicamenteux quotidien qu’il se procure auprès du CHUV une fois par mois (PV aud 5, p. 3). En raison de son état de santé, le recourant affirme ne pas pouvoir quitter la Suisse car il s’exposerait à un risque de</w:t>
      </w:r>
    </w:p>
    <w:p>
      <w:r>
        <w:t>- 5 - mort sérieux. Or il est constant qu’il s’est rendu au Nigéria, en passant par Paris et le Bénin, à deux reprises en moins de trois mois, entre fin 2012 et 2013, à chaque fois pour quatre semaines. Il garde par conséquent de forts liens avec son pays s’origine et le risque qu’il s’y rende à nouveau pendant la procédure pénale en cours est concret, étant rappelé que le recourant est prévenu de viol et qu’il s’expose à une peine privative de liberté d’une certaine durée. Ses liens avec la Suisse, en particulier le fait qu’il a un travail depuis novembre 2013, n’apparaissent pas suffisants pour nier ce risque. En outre, tant le passeport nigérian que le permis F du recourant sont encore valables et aucune demande formelle de renouvellement de son permis n’est actuellement en cours auprès du SPOP. Contrairement à ce que semble prétendre le recourant, la saisie de sa pièce d’identité ne lui porte dès lors aucunement préjudice pour le moment. d) Partant, la mesure de substitution ordonnée par le Tribunal des mesures de contrainte vise à prévenir efficacement le risque de fuite en empêchant le recourant de quitter le territoire suisse et est donc pleinement justifiée. Elle respecte en outre le principe de proportionnalité dans la mesure où le recourant peut conserver son travail et suivre son traitement médical auprès du CHUV.</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360 fr., plus la TVA par 28 fr. 80, soit un total de 388 fr. 80, seront mis à la charge de A.________, qui succombe (art. 428 al. 1 CPP).</w:t>
      </w:r>
    </w:p>
    <w:p>
      <w:r>
        <w:t>- 6 -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13 février 2014 est confirmée. III. L'indemnité allouée au défenseur d'office de A.________ est fixée à 388 fr. 80 (trois cent huitante-huit francs et huitante centimes). IV. Les frais du présent arrêt, par 660 fr. (six cent soixante francs), ainsi que l’indemnité due au défenseur d’office de A.________, par 388 fr. 80 (trois cent huitante-huit francs et huitante centimes), sont mis à la charge de ce dernier. V. Le remboursement à l'Etat de l'indemnité allouée au chiffre III ci-dessus sera exigible pour autant que la situation économique de A.________ se soit améliorée. VI. Le présent arrêt est exécutoire. Le président : La greffière : Du L'arrêt qui précède, dont la rédaction a été approuvée à huis clos, est notifié, par l'envoi d'une copie complète, à : - Mme Tiphanie Chappuis, avocate (pour A.________), - Ministère public central,</w:t>
      </w:r>
    </w:p>
    <w:p>
      <w:r>
        <w:t>- 7 - et communiqué à : - Mme la Présidente du Tribunal des mesures de contrainte, - M. le Procureur de l’arrondissement du Nord vaudois, - Mme Coralie Germond, avocate (pour C.________),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