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PE13.024111 vom 25. November 2013</w:t>
      </w:r>
    </w:p>
    <w:p>
      <w:r>
        <w:t>VD Tribunal cantonal, 2013-11-25, FR</w:t>
      </w:r>
    </w:p>
    <w:p>
      <w:r>
        <w:rPr>
          <w:b/>
        </w:rPr>
        <w:t xml:space="preserve">Quelle: </w:t>
      </w:r>
      <w:r>
        <w:t>https://mcp.opencaselaw.ch/entscheid/vd_gerichte_PE13.024111</w:t>
      </w:r>
    </w:p>
    <w:p>
      <w:r>
        <w:t>FR: VD_GERICHTE PE13.024111 du 25 novembre 2013</w:t>
      </w:r>
    </w:p>
    <w:p>
      <w:r>
        <w:t>IT: VD_GERICHTE PE13.024111 del 25 novembre 2013</w:t>
      </w:r>
    </w:p>
    <w:p>
      <w:pPr>
        <w:pStyle w:val="Heading2"/>
      </w:pPr>
      <w:r>
        <w:t>Erwägungen</w:t>
      </w:r>
    </w:p>
    <w:p>
      <w:r>
        <w:rPr>
          <w:b/>
        </w:rPr>
        <w:t>E. 1</w:t>
      </w:r>
    </w:p>
    <w:p>
      <w:r>
        <w:t>Interjeté dans le délai légal (art. 322 al. 2 CPP [Code de procédure pénale suisse du 5 octobre 2007; RS 312.0], auquel renvoie l'art. 310 al. 2 CPP, et 396 al. 1 CPP) contre une décision du ministère public (art. 393 al. 1 let. a CPP), par la partie plaignante qui a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w:t>
      </w:r>
    </w:p>
    <w:p>
      <w:r>
        <w:t>- 4 -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a) Aux termes de l’art. 123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(ch. 1). Selon la jurisprudence, toute intervention médicale qui porte atteinte à l'intégrité corporelle remplit les éléments constitutifs objectifs de l'infraction de lésions corporelles. Un critère fondé sur l'objectif de santé poursuivi par l'acte médical en cause ne saurait être retenu pour départager ce qui est licite de ce qui est illicite, dès lors qu'un tel concept est sujet à interprétation et à des définitions diverses. A cela s'ajoute que le point de vue médical et les conceptions personnelles des patients ne sont pas nécessairement identiques pour définir ce qu'est la santé ou la maladie. On ne saurait dès lors affirmer que le choix du patient sera toujours et nécessairement conforme aux indications du médecin. Ainsi, même lorsqu'il est médicalement indiqué, selon l'avis du médecin et qu'il est accompli d'après les règles de l'art, tout acte qui entame la substance même du corps humain (par exemple une amputation), qui limite au moins provisoirement la capacité corporelle ou qui porte atteinte ou aggrave de manière non insignifiante le bien-être du patient doit être considéré comme une lésion corporelle (ATF 124 IV 258 c. 2, JT 2001 IV 2). Toute atteinte à l'intégrité corporelle est illicite à moins qu'il n'existe un fait justificatif. Dans le domaine médical, la justification de l'atteinte ne peut en principe venir que du consentement du patient, exprès ou que l'on peut présumer (TF 6B_640/2007 du 11 février 2008 c. 3.1; ATF 124 IV 258 c. 2, JT 2001 IV 2). Pour être efficace, le consentement doit être éclairé, ce qui suppose que le praticien renseigne suffisamment le malade pour que</w:t>
      </w:r>
    </w:p>
    <w:p>
      <w:r>
        <w:t>- 5 - celui-ci donne son accord en connaissance de cause (ATF 119 II 456 c. 2a; ATF 117 Ib 197 c. 2a et les arrêts cités). b) En l’espèce, en vertu de la jurisprudence précitée, les interventions du médecin dentiste W.________ consistant à effectuer deux traitements de racine réalisent les éléments constitutifs objectifs de l'infraction de lésions corporelles simples. Il reste dès lors à examiner s’il existait ou non un fait justificatif sous la forme d’un consentement éclairé de la patiente. Dans sa plainte, la recourante a expliqué qu’elle n’avait été informée qu’à son troisième rendez-vous du fait que le Dr W.________ avait pratiqué deux traitements de racine, alors qu’elle avait des douleurs à une seule dent. Elle n’aurait ainsi pas consenti à une telle intervention. En outre, la recourante invoque, après avoir consulté un autre médecin dentiste, que les traitements entrepris n’auraient pas été nécessaires. Au vu de ces éléments, il existait suffisamment d’éléments pour justifier l’ouverture d’une instruction pénale. Les conditions posées par l’art. 310 al. 1 let. a CPP n’étant ainsi pas réunies, c’est à tort que le Procureur a refusé d’entrer en matière.</w:t>
      </w:r>
    </w:p>
    <w:p>
      <w:r>
        <w:rPr>
          <w:b/>
        </w:rPr>
        <w:t>E. 4</w:t>
      </w:r>
    </w:p>
    <w:p>
      <w:r>
        <w:t>Il résulte de ce qui précède que le recours doit être admis, l'ordonnance de non-entrée en matière du 25 novembre 2013 annulée et le dossier de la cause renvoyé au Ministère public de l'arrondissement de Lausanne pour qu'il procède dans le sens des considérants. Les frais de la procédure de recours, constitués en l’espèce du seul émolument d'arrêt, par 550 fr. (art. 20 al. 1 TFJP [Tarif des frais judiciaires pénaux du 28 septembre 2010; RSV 312.03.1]), seront laissés à la charge de l'Etat (art. 428 al. 4 CPP).</w:t>
      </w:r>
    </w:p>
    <w:p>
      <w:r>
        <w:t>- 6 - Par ces motifs, la Chambre des recours pénale, statuant à huis clos, prononce : I. Le recours est admis. II. L'ordonnance du 25 novembre 2013 est annulée. III. Le dossier de la cause est renvoyé au Procureur de l’arrondissement de Lausanne pour qu'il procède dans le sens des considérants. IV. Les frais d'arrêt, par 550 fr. (cinq cent cinquante francs), sont laissés à la charge de l'Etat. V. Le présent arrêt est exécutoire. Le président : La greffière : Du L'arrêt qui précède, dont la rédaction a été approuvée à huis clos, est notifié, par l'envoi d'une copie complète, à : - Me Michel Bergmann, avocat (pour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- 7 -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