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PE13.024104 vom 17. März 2014</w:t>
      </w:r>
    </w:p>
    <w:p>
      <w:r>
        <w:t>VD Tribunal cantonal, 2014-03-17, FR</w:t>
      </w:r>
    </w:p>
    <w:p>
      <w:r>
        <w:rPr>
          <w:b/>
        </w:rPr>
        <w:t xml:space="preserve">Quelle: </w:t>
      </w:r>
      <w:r>
        <w:t>https://mcp.opencaselaw.ch/entscheid/vd_gerichte_PE13.024104</w:t>
      </w:r>
    </w:p>
    <w:p>
      <w:r>
        <w:t>FR: VD_GERICHTE PE13.024104 du 17 mars 2014</w:t>
      </w:r>
    </w:p>
    <w:p>
      <w:r>
        <w:t>IT: VD_GERICHTE PE13.024104 del 17 marzo 2014</w:t>
      </w:r>
    </w:p>
    <w:p>
      <w:pPr>
        <w:pStyle w:val="Heading2"/>
      </w:pPr>
      <w:r>
        <w:t>Erwägungen</w:t>
      </w:r>
    </w:p>
    <w:p>
      <w:r>
        <w:rPr>
          <w:b/>
        </w:rPr>
        <w:t>E. 3</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660 fr. (art. 20 al. 1 TFJP [tarif des frais judiciaires pénaux; RSV 312.03.1]), seront mis à la charge du recourant, qui succombe (art. 428 al. 1 CPP). Par ces motifs, la Chambre des recours pénale,</w:t>
      </w:r>
    </w:p>
    <w:p>
      <w:r>
        <w:t>- 7 - statuant à huis clos, prononce : I. Le recours est rejeté. II. L'ordonnance du 17 décembre 2013 est confirmée. III. Les frais du présent arrêt, par 660 fr. (six cent soixante francs), sont mis à la charge de L.________. IV. Le montant de 440 fr. (quatre cent quarante francs) déjà versé par le recourant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- 8 -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