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PE13.023324 vom 21. Juli 2017</w:t>
      </w:r>
    </w:p>
    <w:p>
      <w:r>
        <w:t>VD Tribunal cantonal, 2017-07-21, FR</w:t>
      </w:r>
    </w:p>
    <w:p>
      <w:r>
        <w:rPr>
          <w:b/>
        </w:rPr>
        <w:t xml:space="preserve">Quelle: </w:t>
      </w:r>
      <w:r>
        <w:t>https://mcp.opencaselaw.ch/entscheid/vd_gerichte_PE13.023324</w:t>
      </w:r>
    </w:p>
    <w:p>
      <w:r>
        <w:t>FR: VD_GERICHTE PE13.023324 du 21 juillet 2017</w:t>
      </w:r>
    </w:p>
    <w:p>
      <w:r>
        <w:t>IT: VD_GERICHTE PE13.023324 del 21 luglio 2017</w:t>
      </w:r>
    </w:p>
    <w:p>
      <w:pPr>
        <w:pStyle w:val="Heading2"/>
      </w:pPr>
      <w:r>
        <w:t>Erwägungen</w:t>
      </w:r>
    </w:p>
    <w:p>
      <w:r>
        <w:rPr>
          <w:b/>
        </w:rPr>
        <w:t>E. 7.1</w:t>
      </w:r>
    </w:p>
    <w:p>
      <w:r>
        <w:t>L’appelant ne conteste pas les qualifications juridiques retenues, qui doivent être confirmées. A ce sujet, la Cour fait sienne la motivation des premiers juges, qui est complète et ne porte pas le flanc à la critique. Il doit donc sans autre y être renvoyé.</w:t>
      </w:r>
    </w:p>
    <w:p>
      <w:r>
        <w:rPr>
          <w:b/>
        </w:rPr>
        <w:t>E. 7.2</w:t>
      </w:r>
    </w:p>
    <w:p>
      <w:r>
        <w:t>De même, la conclusion de l’appel portant sur les indemnités civiles, elle présuppose l’admission au moins partielle de celles portant sur le fond. La quotité de la réparation morale n’est au demeurant pas contestée séparément.</w:t>
      </w:r>
    </w:p>
    <w:p>
      <w:r>
        <w:rPr>
          <w:b/>
        </w:rPr>
        <w:t>E. 8</w:t>
      </w:r>
    </w:p>
    <w:p>
      <w:r>
        <w:t>Recours du Ministère public</w:t>
      </w:r>
    </w:p>
    <w:p>
      <w:r>
        <w:rPr>
          <w:b/>
        </w:rPr>
        <w:t>E. 8.1</w:t>
      </w:r>
    </w:p>
    <w:p>
      <w:r>
        <w:t>Le Ministère public conclut au prononcé d’une peine privative de liberté de trois ans et au refus de tout sursis.</w:t>
      </w:r>
    </w:p>
    <w:p>
      <w:r>
        <w:t>- 35 -</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8.2.2</w:t>
      </w:r>
    </w:p>
    <w:p>
      <w:r>
        <w:t>Aux termes de l’art. 43 al. 1 CP, le juge peut suspendre partiellement l’exécution d’une peine pécuniaire, d’un travail d’intérêt général ou d’une peine privative de liberté d’un an au moins et de trois ans au plus afin de tenir compte de façon appropriée de la faute de l’auteur. 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w:t>
      </w:r>
    </w:p>
    <w:p>
      <w:r>
        <w:t>- 36 - moyennant exécution de l'autre partie.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L'art. 43 CP permet alors que l'effet d'avertissement du sursis partiel autorise, compte tenu de l'exécution partielle ordonnée simultanément, un pronostic largement plus favorable pour l'avenir (TF 6B_800/2007 du 26 février 2008 consid. 2.1; ATF 134 IV 1 consid. 5.5.2 p. 14).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(cf. ATF 134 IV 1 consid. 4.2 p. 5; ATF 128 IV 193 consid. 3a).</w:t>
      </w:r>
    </w:p>
    <w:p>
      <w:r>
        <w:rPr>
          <w:b/>
        </w:rPr>
        <w:t>E. 8.3</w:t>
      </w:r>
    </w:p>
    <w:p>
      <w:r>
        <w:t>La culpabilité du prévenu est lourde en raison de la gravité des faits, de leur répétition et de leur impact sur le psychisme de l’enfant. Il s’en est pris à une jeune fille vulnérable et déracinée. Il a profité d’elle et l’a utilisée pour assouvir ses pulsions sexuelles. Il n’a eu aucune considération pour l’intégrité de sa victime. En cours de procédure, il n’a pas seulement nié les faits, mais a également cherché à instrumentaliser le frère de sa victime afin qu’il témoigne contre celle-ci. Cette attitude en procédure outrepasse le droit de mentir, reconnu au prévenu par la loi (art. 113 al. 1, 1re et 2e phrases, CPP). En effet, cette stratégie de défense a abouti à sa condamnation pour les infractions de dénonciation calomnieuse et de tentative d’instigation à faux témoignage. Il faut en</w:t>
      </w:r>
    </w:p>
    <w:p>
      <w:r>
        <w:t>- 37 - outre tenir compte du concours d’infractions. Certes, les faits incriminés rapportés aux chiffres 1.1 et 1.6 de l’acte d’accusation ne sont pas retenus. Cela ne justifie toutefois aucune réduction de peine au regard de la gravité des faits, de l’attitude du prévenu tout au long de la procédure et de la quotité de la peine prononcée par les premiers juges. Au regard de l’ensemble de ces éléments, il convient de prononcer une peine privative de liberté de deux ans, sous déduction d’un jour de détention avant jugement.</w:t>
      </w:r>
    </w:p>
    <w:p>
      <w:r>
        <w:rPr>
          <w:b/>
        </w:rPr>
        <w:t>E. 8.4</w:t>
      </w:r>
    </w:p>
    <w:p>
      <w:r>
        <w:t>Quant au sursis, la question déterminante est celle du pronostic à poser, étant rappelé que la quotité de la peine permet tant le sursis complet que le sursis partiel. L’attitude du prévenu est détestable, ce dernier niant l’ensemble des faits qui lui sont reprochés et ayant impliqué des tiers dans ses dénégations mensongères. Ce comportement témoigne de son déni particulièrement poussé et de son refus d’assumer ses actes. Il s’agit d’un important facteur de mauvais pronostic. Cela étant, il n’en demeure pas moins que le prévenu n’a pas d’antécédent pénal et qu’il est inséré dans la vie professionnelle de longue date. Sans être défavorable, le pronostic est ainsi mitigé, soit très incertain. En présence de tels doutes au sujet du comportement futur de l'auteur, l'octroi du sursis à l'exécution d'au moins une partie de la peine nécessite, à des fins de prévention spéciale, que l'autre partie de la peine soit exécutée. Ce qui précède commande le sursis partiel. L’exécution de la peine privative de liberté doit être limitée à une durée de six mois, l’exécution du solde de la peine, portant sur 18 mois, étant dès lors suspendue. Le délai d’épreuve sera fixé à quatre ans.</w:t>
      </w:r>
    </w:p>
    <w:p>
      <w:r>
        <w:rPr>
          <w:b/>
        </w:rPr>
        <w:t>E. 9</w:t>
      </w:r>
    </w:p>
    <w:p>
      <w:r>
        <w:t>L’appel du prévenu étant rejeté et celui du Ministère public étant partiellement admis, les frais d’appel (art. 21 al. 1 et 2 TFIP [Tarif des frais de procédure et indemnités en matière pénale du 28 septembre 2010; RSV 312.03.1]) seront mis à raison des trois quarts à la charge du prévenu, qui succombe dans une large mesure (art. 428 al. 1 CPP); le solde des frais sera laissé à la charge de l’Etat.</w:t>
      </w:r>
    </w:p>
    <w:p>
      <w:r>
        <w:t>- 38 - Outre l’émolument, les frais d’appel comprennent d’abord l’indemnité en faveur du défenseur d’office du prévenu (art. 422 al. 1 et al. 2 let. a CPP). Celle-ci doit être arrêtée sur la base d’une durée d’activité d’avocate stagiaire de 25 h et 50 minutes, y compris la durée de l’audience d’appel, en plus de deux vacations à 80 fr. chacune. L’indemnité s’élève donc à 3’241 fr. 80, débours et TVA compris. Les frais d’appel comprennent aussi l’indemnité en faveur du conseil d’office de chacune des intimées (art. 422 al. 1 et al. 2 let. a CPP). En ce qui concerne S.________, cette indemnité doit être arrêtée sur la base d’une durée d’activité d’avocate de 5 h et 45 minutes, y compris la durée de l’audience d’appel, en plus d’une vacation à 120 fr. et 9 fr. d’autres débours, soit 1’164 fr., plus la TVA. L’indemnité s’élève donc à 1’257 fr. 10, débours et TVA compris. En ce qui concerne J.________, cette indemnité doit être arrêtée sur la base d’une durée d’activité d’avocat de 9 heures et 20 minutes, y compris la durée de l’audience d’appel, en plus d’une vacation à 120 fr. et 50 fr. d’autres débours, soit 1'850 fr., plus la TVA. L’indemnité s’élève donc à 1’998 fr., débours et TVA compris. L’appelant X.________ ne sera tenu de rembourser à l’Etat les trois quarts du montant de l’indemnité en faveur de son défenseur d’office ci-dessus que lorsque sa situation financière le permettra (art. 135 al. 4 CPP).</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