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PE13.022602 vom 1. November 2013</w:t>
      </w:r>
    </w:p>
    <w:p>
      <w:r>
        <w:t>VD Tribunal cantonal, 2013-11-01, FR</w:t>
      </w:r>
    </w:p>
    <w:p>
      <w:r>
        <w:rPr>
          <w:b/>
        </w:rPr>
        <w:t xml:space="preserve">Quelle: </w:t>
      </w:r>
      <w:r>
        <w:t>https://mcp.opencaselaw.ch/entscheid/vd_gerichte_PE13.022602</w:t>
      </w:r>
    </w:p>
    <w:p>
      <w:r>
        <w:t>FR: VD_GERICHTE PE13.022602 du 1 novembre 2013</w:t>
      </w:r>
    </w:p>
    <w:p>
      <w:r>
        <w:t>IT: VD_GERICHTE PE13.022602 del 1 novembre 2013</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w:t>
      </w:r>
    </w:p>
    <w:p>
      <w:r>
        <w:t>- 3 -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K.________ (art. 13 de la loi d’introduction du code de procédure pénale suisse [LVCPP] ; RSV 312.01).</w:t>
      </w:r>
    </w:p>
    <w:p>
      <w:r>
        <w:rPr>
          <w:b/>
        </w:rPr>
        <w:t>E. 2</w:t>
      </w:r>
    </w:p>
    <w:p>
      <w:r>
        <w:t>K.________ considère que le Procureur général a utilisé, dans l’ordonnance litigieuse, un vocabulaire insultant. Il soutient que pour des raisons inconnues, ce dernier lui vouerait une inimitié manifeste justifiant, selon lui, sa récusation.</w:t>
      </w:r>
    </w:p>
    <w:p>
      <w:r>
        <w:rPr>
          <w:b/>
        </w:rPr>
        <w:t>E. 2.1</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ATF 137 I 227 c. 2.1; ATF 136 III 605 c. 3.2.1; ATF 134 I 20 c. 4.2; ATF 131 I 24 c. 1.1). Le législateur a concrétisé ces garanties dans la procédure pénale aux art. 56 à 60 CPP. L'art. 56 let. a à f CPP énonce divers motifs de récusation qualifiés à l'égard de toute personne exerçant une fonction au sein d’une</w:t>
      </w:r>
    </w:p>
    <w:p>
      <w:r>
        <w:t>- 4 - autorité pénale; pour sa part, sa lettre f impose en outre la récusation du fonctionnaire ou magistrat concerné "lorsque d'autres motifs, notamment un rapport d'amitié étroit ou d'inimitié avec une partie ou son conseil, sont de nature à le rendre suspect de prévention". Il s'agit d'une clause générale et indéterminée jouant un rôle résiduel: tous les motifs de récusation non compris dans les clauses de l'art. 56 let. a à e CPP peuvent être invoqués par le biais de l'art. 56 let. f CPP (ATF 138 IV 142 c. 2.1). S'agissant des relations sociales mentionnées dans le texte légal, les rapports d'inimitié doivent être caractérisés (Verniory, in : Commentaire romand, Code de procédure pénale suisse, Bâle 2011, n. 27 ss ad art. 56 CPP). La garantie du juge impartial ne permet pas au justiciable de récuser un magistrat au motif que celui-ci aurait statué précédemment en sa défaveur (TF 1B_144/2009 du 4 juin 2009 c. 2.2; TF 1B_124/2008 du 23 mai 2008 c. 4; ATF 116 Ia 14 c. 5; ATF 114 Ia 278).</w:t>
      </w:r>
    </w:p>
    <w:p>
      <w:r>
        <w:rPr>
          <w:b/>
        </w:rPr>
        <w:t>E. 2.2</w:t>
      </w:r>
    </w:p>
    <w:p>
      <w:r>
        <w:t>En l’espèce, il est constant que K.________ a contesté de nombreuses ordonnances de non-entrée en matière par la voie du recours auprès de la Chambre des recours pénale du canton de Vaud. Si le Procureur général s’est certes exprimé un peu maladroitement en rédigeant l’ordonnance litigieuse, il convient de relever qu’il a toutefois laissé les frais de la cause à la charge de l’Etat. Compte tenu des circonstances, les propos tenus par le Procureur général ne sont pas de nature à le rendre suspect de prévention au sens de l’art. 56 let. f CPP. Aucun motif objectif de récusation au sens de cette disposition n'est ainsi réalisé en l'espèce. Par conséquent, la demande de récusation est manifestement mal fondée et doit être rejetée.</w:t>
      </w:r>
    </w:p>
    <w:p>
      <w:r>
        <w:rPr>
          <w:b/>
        </w:rPr>
        <w:t>E. 3</w:t>
      </w:r>
    </w:p>
    <w:p>
      <w:r>
        <w:t>K.________ soutient que la gestionnaire de dossiers de la Chambre des recours du Tribunal cantonal a agi par ordre du greffier et</w:t>
      </w:r>
    </w:p>
    <w:p>
      <w:r>
        <w:t>- 5 - non du président, ce qui serait contraire à l’art. 383 al. 1 CPP qui fait référence à la direction de la procédure de l’autorité de recours. Il fait également grief à cette collaboratrice d’avoir omis de citer la disposition topique dans le courrier contenant la demande d’avance de frais. Enfin, il lui reproche, ainsi qu’au greffier, de ne pas avoir vérifié s’il était au bénéfice ou pouvait bénéficier de l’assistance judiciaire et donc de la dispense de l’avance de frais au sens de l’art. 136 al. 2 let. a et b CPP. Il estime qu’au vu de ces éléments, la présomption du délit d’abus d’autorité serait suffisamment fondée pour justifier une enquête approfondie.</w:t>
      </w:r>
    </w:p>
    <w:p>
      <w:r>
        <w:rPr>
          <w:b/>
        </w:rPr>
        <w:t>E. 3.1</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t>- 6 - b) Aux termes de l’art. 312 CP, se rendent coupables d’abus d’autorité les membres d'une autorité et les fonctionnaires qui, dans le dessein de se procurer ou de procurer à un tiers un avantage illicite, ou dans le dessein de nuire à autrui, auront abusé des pouvoirs de leur charge. Est membre d'une autorité la personne qui exerce, individuellement ou au sein d'un collège, l'un des trois pouvoirs de l'Etat, soit le pouvoir exécutif, législatif ou judiciaire (Dupuis/Geller/Monnier/Moreillon/Piguet/Bettex/Stoll, Code pénal, Petit commentaire, Bâle 2012, n. 6 ad art. 312 CP).</w:t>
      </w:r>
    </w:p>
    <w:p>
      <w:r>
        <w:rPr>
          <w:b/>
        </w:rPr>
        <w:t>E. 3.2</w:t>
      </w:r>
    </w:p>
    <w:p>
      <w:r>
        <w:t>En l’espèce, tant le greffier que la gestionnaire de dossier ont agi sur ordre du président de la Chambre des recours pénale. Ils n’ont à l’évidence pas agi dans le dessein de se procurer ou de procurer à un tiers un avantage illicite, ou dans le dessein de nuire à autrui. Par ailleurs, comme l’a relevé à juste titre le Procureur général, aucune disposition légale n’exige que le courrier dans lequel l’avance de frais est exigée de la partie recourante soit signé par un magistrat personnellement. Enfin, il y a lieu de préciser que personne ne bénéficie « de fait » de l’assistance judiciaire. Par conséquent, le reproche formulé par le recourant s’agissant du fait que la collaboratrice ou le greffier devaient vérifier s’il ne pouvait bénéficier de l’assistance judiciaire avant de l’enjoindre à payer une avance de frais, est sans pertinence. Il résulte de ce qui précède que les éléments constitutifs de l’infraction d’abus d’autorité ne sont manifestement pas réunis. C’est donc à juste titre que le Procureur général a rendu une ordonnance de non- entrée en matière, au sens de l’art. 310 al. 1 let. a CPP.</w:t>
      </w:r>
    </w:p>
    <w:p>
      <w:r>
        <w:t>- 7 -</w:t>
      </w:r>
    </w:p>
    <w:p>
      <w:r>
        <w:rPr>
          <w:b/>
        </w:rPr>
        <w:t>E. 4</w:t>
      </w:r>
    </w:p>
    <w:p>
      <w:r>
        <w:t>En définitive, le recours, manifestement mal fondé, doit être rejeté sans autre échange d’écritures (art. 390 al. 2 CPP) et l’ordonnance attaquée confirmée. La demande de récusation, manifestement mal fondée, doit être rejetée. La requête tendant à l’octroi de l’assistance judiciaire pour la procédure de recours doit également être rejetée, dès lors que le recours apparaissait d’emblée dénué de chances de succès (CREP 28 janvier 2013/37 et les arrêts cités).</w:t>
      </w:r>
    </w:p>
    <w:p>
      <w:r>
        <w:rPr>
          <w:b/>
        </w:rPr>
        <w:t>E. 5</w:t>
      </w:r>
    </w:p>
    <w:p>
      <w:r>
        <w:t>Vu l'issue de la cause, les frais de procédure, constitués de l’émolument de décision, par 770 fr. (art. 20 al. 1 TFJP [tarif des frais judiciaires pénaux; RSV 312.03.1]), seront mis à la charge de K.________ (art. 59 al. 4 et 428 al. 1 CPP). Par ces motifs, la Chambre des recours pénale, statuant à huis clos, prononce : I. La demande de récusation est rejetée. II. Le recours est rejeté. III. L’ordonnance du 1er novembre 2013 est confirmée. IV. La requête tendant à l’octroi de l’assistance judiciaire pour la procédure de recours est rejetée. V. Les frais de la procédure de recours, par 770 fr. (sept cent septante francs), sont mis à la charge de K.________. VI. Le présent arrêt est exécutoire. Le président : La greffière :</w:t>
      </w:r>
    </w:p>
    <w:p>
      <w:r>
        <w:t>- 8 - Du L'arrêt qui précède, dont la rédaction a été approuvée à huis clos, est notifié, par l'envoi d'une copie complète, à : - M. K.________,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