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PE13.021922 vom 23. Dezember 2013</w:t>
      </w:r>
    </w:p>
    <w:p>
      <w:r>
        <w:t>VD Tribunal cantonal, 2013-12-23, FR</w:t>
      </w:r>
    </w:p>
    <w:p>
      <w:r>
        <w:rPr>
          <w:b/>
        </w:rPr>
        <w:t xml:space="preserve">Quelle: </w:t>
      </w:r>
      <w:r>
        <w:t>https://mcp.opencaselaw.ch/entscheid/vd_gerichte_PE13.021922</w:t>
      </w:r>
    </w:p>
    <w:p>
      <w:r>
        <w:t>FR: VD_GERICHTE PE13.021922 du 23 décembre 2013</w:t>
      </w:r>
    </w:p>
    <w:p>
      <w:r>
        <w:t>IT: VD_GERICHTE PE13.021922 del 23 dicembre 2013</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w:t>
      </w:r>
    </w:p>
    <w:p>
      <w:r>
        <w:t>- 3 -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2. En premier lieu, le recourant se plaint d’avoir été mal renseigné tant sur la durée du PRADO que sur le PSE. Il estime ainsi avoir subi un préjudice financier d’un montant de 6'072 fr. 20 qui aurait été encaissé à tort par l’EMS Les Myosotis. Il estime également que cet établissement devrait lui rembourser la somme de 2'962 fr. correspondant au loyer du mois de novembre 2012. Le procureur a justifié sa non-entrée en matière sur ces points par l’absence d’infraction. Il s’appuie sur les explications circonstanciées fournies dans une correspondance de l’Office des curatelles et tutelles professionnelles du 5 septembre 2013 (P. 6). Il ressort notamment de</w:t>
      </w:r>
    </w:p>
    <w:p>
      <w:r>
        <w:t>- 4 - cette correspondance que G.________ n’a pas subi de préjudice financier. Ces explications sont convaincantes et il n’y a pas lieu de s’en écarter. Ainsi, c’est à juste titre que le Ministère public a considéré que les faits décrits par le recourant n’étaient pas constitutifs d’une infraction pénale. 3. Ensuite, le recourant explique qu’il aurait subi à trois reprises des mauvais traitements au sein de l’EMS Les Myosotis. Il se plaint également du fait que le directeur et le personnel auraient propagé des bruits diffamants sur son compte. Dans ses écritures, G.________ ne précise pas la nature des mauvais traitements dont il se plaint. Il ne propose rien de concret et ne produit aucune pièce étayant ses dires. De plus, la correspondance de l’office des curatelles et tutelles professionnelles précitée tend à confirmer le fait que l’intéressé n’a pas été victime d’un quelconque comportement répréhensible (P. 6, p. 3). C’est par conséquent également à juste titre que le Procureur a refusé d’entrer en matière sur ces points et la Cour de céans ne saurait lui reprocher de ne pas avoir instruit ces questions. 4. Il résulte de ce qui précède que le recours, manifestement mal fondé, doit être rejeté sans autres échanges d’écritures (art. 390 al. 2 CPP). Les frais de la procédure de recours, constitués en l’espèce du seul émolument d'arrêt, par 440 fr. (art. 20 al. 1 TFJP [tarif des frais judiciaires pénaux; RSV 312.03.1]) seront mis à la charge de G.________, qui succombe (art. 428 al. 1 CPP).</w:t>
      </w:r>
    </w:p>
    <w:p>
      <w:r>
        <w:t>- 5 - Par ces motifs, la Chambre des recours pénale, statuant à huis clos, prononce : I. Le recours est rejeté. II. L’ordonnance du 26 novembre 2013 est confirmée. IV. Les frais de la procédure de recours, par 440 fr. (quatre cent quarante francs), sont mis à la charge de G.________ V. L’arrêt est exécutoire. Le président : La greffière : Du L'arrêt qui précède, dont la rédaction a été approuvée à huis clos, est notifié, par l'envoi d'une copie complète, à : - M. G.________, - Office des tutelles et curatelles, Secteur protection de l’adulte (Mme [...]), - Ministère public central, et communiqué à : - M. le Procureur de l’arrondissement de la Côte,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