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PE13.021833 vom 7. Oktober 2014</w:t>
      </w:r>
    </w:p>
    <w:p>
      <w:r>
        <w:t>VD Tribunal cantonal, 2014-10-07, FR</w:t>
      </w:r>
    </w:p>
    <w:p>
      <w:r>
        <w:rPr>
          <w:b/>
        </w:rPr>
        <w:t xml:space="preserve">Quelle: </w:t>
      </w:r>
      <w:r>
        <w:t>https://mcp.opencaselaw.ch/entscheid/vd_gerichte_PE13.021833</w:t>
      </w:r>
    </w:p>
    <w:p>
      <w:r>
        <w:t>FR: VD_GERICHTE PE13.021833 du 7 octobre 2014</w:t>
      </w:r>
    </w:p>
    <w:p>
      <w:r>
        <w:t>IT: VD_GERICHTE PE13.021833 del 7 ottobre 2014</w:t>
      </w:r>
    </w:p>
    <w:p>
      <w:pPr>
        <w:pStyle w:val="Heading2"/>
      </w:pPr>
      <w:r>
        <w:t>Erwägungen</w:t>
      </w:r>
    </w:p>
    <w:p>
      <w:r>
        <w:rPr>
          <w:b/>
        </w:rPr>
        <w:t>E. 1</w:t>
      </w:r>
    </w:p>
    <w:p>
      <w:r>
        <w:t>Par jugement du 7 octobre 2014, le Tribunal criminel de l’arrondissement de La Broye et du Nord vaudois a, notamment, libéré V.________ des chefs d'accusation de vol, lésions corporelles simples qualifiées, contrainte et violation de domicile (II), a constaté que V.________ s'était rendu coupable de tentative de lésions corporelles graves, abus de confiance, tentative d'extorsion et chantage qualifiés, escroquerie, tentative de contrainte, violation simple des règles de la circulation routière, conduite d'un véhicule défectueux, conduite d'un véhicule malgré le retrait du permis de conduire, accompagnement d'un élève-conducteur sans remplir les conditions exigées, défaut de restitution de plaques de contrôle retirées, délit contre la Loi fédérale sur la protection des eaux et délit contre la Loi fédérale sur les armes (III), a condamné V.________ à une peine privative de liberté de 5 ans, sous déduction de 357 jours de détention préventive subie au jour du jugement (IV), a dit que cette peine était partiellement complémentaire à celles prononcées le 6 novembre 2006 par le Juge d'instruction I du Jura bernois-Seeland, le 18 février 2011 par la Cour d'appel pénale de Fribourg, et le 21 juin 2012 par l'Amtsgerichtspräsident Bucheggberg-Wasseramt (V), a ordonné le maintien en détention pour des motifs de sûreté de V.________ (VI), a révoqué le sursis accordé à V.________ le 18 février 2011 par la Cour d'appel pénale de Fribourg et ordonné l'exécution de la peine privative de liberté de 15 mois (VII), a révoqué le sursis accordé à V.________ le 30 septembre 2011 par le Ministère public du canton Fribourg et ordonné l'exécution de la peine pécuniaire de 30 jours-amende à 10 fr. le jour (VIII),</w:t>
      </w:r>
    </w:p>
    <w:p>
      <w:r>
        <w:t>- 3 - a révoqué le sursis accordé à V.________ le 4 avril 2012 par le Tribunal de police de la Broye et du Nord vaudois et ordonné l'exécution de la peine pécuniaire de 100 jours-amende à 30 fr. le jour (IX),a révoqué le sursis accordé à V.________ le 21 juin 2012 par l'Amtsgerichtspräsident Bucheggberg-Wasseramt et ordonné l'exécution de la peine privative de liberté de 10 mois (X). V.________ a formé appel contre ce jugement. A la suite de l'audience d'appel, qui a eu lieu le 19 février 2015, la Cour d'appel pénale a admis partiellement l'appel, le jugement du 7 octobre 2014 du Tribunal criminel étant notamment modifié aux chiffres II, III, IV de son dispositif, qui ont désormais la teneur suivante : "II. libère V.________ des chefs d’accusation de vol, lésions corporelles simples qualifiées, tentative de lésions corporelles graves, escroquerie, violation de domicile; III. constate que V.________ s'est rendu coupable d’abus de confiance, tentative d’extorsion et chantage qualifiés, tentative de contrainte, violation simple des règles de la circulation routière, conduite d’un véhicule défectueux, conduite d'un véhicule automobile malgré le retrait du permis de conduire, accompagnement d'un élève-conducteur sans remplir les conditions exigées, défaut de restitution de plaques de contrôle retirées, délit contre la Loi fédérale sur la protection des eaux et délit contre la Loi fédérale sur les armes; IV. condamne V.________ à une peine privative de liberté de 4,5 ans (quatre ans et demi), sous déduction de 357 (trois cent cinquante-sept) jours de détention préventive subis au jour du jugement". Le dispositif du jugement a été notifié aux parties le 20 février 2015.</w:t>
      </w:r>
    </w:p>
    <w:p>
      <w:r>
        <w:rPr>
          <w:b/>
        </w:rPr>
        <w:t>E. 2</w:t>
      </w:r>
    </w:p>
    <w:p>
      <w:r>
        <w:t>Par lettre du 1er avril 2015 adressée au Tribunal des mesures de contrainte, V.________, agissant seul, a sollicité sa libération provisoire. Ce courrier a été envoyé le 2 avril 2015 au Président de la Cour d'appel pénale comme objet de sa compétence. E n d r o i t : 1. Aux termes de l'art. 233 CPP (Code de procédure pénale suisse du 5 octobre 2007, RS 312.0), la direction de la procédure de la juridiction</w:t>
      </w:r>
    </w:p>
    <w:p>
      <w:r>
        <w:t>- 4 -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alors que seul le dispositif du jugement du 19 février 2015, et non sa motivation complète, a été notifié aux parties, la requête de V.________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w:t>
      </w:r>
    </w:p>
    <w:p>
      <w:r>
        <w:t>- 5 - quant à la peine susceptible de devoir être finalement exécutée (TF 1B_43/2013 du 1er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 ou d'une libération conditionnelle (ATF 124 I 208 c. 6 p. 215).</w:t>
      </w:r>
    </w:p>
    <w:p>
      <w:r>
        <w:rPr>
          <w:b/>
        </w:rPr>
        <w:t>E. 2.2</w:t>
      </w:r>
    </w:p>
    <w:p>
      <w:r>
        <w:t>En l'occurrence, le Tribunal criminel de l'arrondissement de La Broye et du Nord vaudois a condamné V.________ pour l'essentiel des infractions qui lui étaient reprochées, qualifiant au demeurant sa culpabilité d'extrêmement lourde, l'intéressé étant incapable d'introspection et persistant à se croire victime de l'injustice des autorités, des fonctionnaires ou de ses relations d'affaires pour justifier ses actes. Il en va de même de la Cour d'appel pénale, qui, certes, a admis partiellement l'appel formé par V.________ mais s'est borné à le libérer des accusations de tentative de lésions corporelles graves et d'escroquerie et à réduire la peine privative de liberté prononcée de six mois. V.________ a d'ailleurs admis une partie des faits retenus à sa charge. Il existe donc des soupçons suffisants au sens de l'art. 221 CPP.</w:t>
      </w:r>
    </w:p>
    <w:p>
      <w:r>
        <w:rPr>
          <w:b/>
        </w:rPr>
        <w:t>E. 2.3</w:t>
      </w:r>
    </w:p>
    <w:p>
      <w:r>
        <w:t>En l'espèce, le tribunal criminel a maintenu V.________ en détention pour des motifs de sûreté, en raison du risque de réitération.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ATF 137 IV 13 c. 3 et 4). Le</w:t>
      </w:r>
    </w:p>
    <w:p>
      <w:r>
        <w:t>- 6 -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l'appréciation portée par les premiers juges sur ce point est pertinente et doit être confirmée : le risque de réitération est concret au vu des antécédents de V.________, du diagnostic psychiatrique résultant de l'expertise à laquelle a été soumise le prévenu – laquelle a conclu à l'existence d'un risque de récidive élevé pour des infractions concernant le droit des personnes, de la circulation routière, dans le cadre de son activité professionnelle, ou encore de la protection de l'environnement (cf. P. 63, ch. 3. 2) – et des échecs des sursis précédemment accordés, de sorte que le maintien en détention de V.________ se justifie. Aucune mesure de substitution (art. 237 CPP) ne présente en l'état de garanties suffisantes pour pallier le risque de réitération, étant au demeurant précisé que l'on doit se montrer particulièrement exigeant lorsque, comme en l'espèce, la sécurité publique est en jeu. A cela s'ajoute - même si cela n'est pas déterminant dès lors que les conditions fixées à l'art. 221 al. 1 let. a à c CPP sont alternatives (TF 1B_249/2011 du 7 juin 2011 c. 2.4) - qu'il n'est pas exclu, au vu la quotité de la peine prononcée, que V.________ se soustraie à l'exécution du jugement rendu à son encontre.</w:t>
      </w:r>
    </w:p>
    <w:p>
      <w:r>
        <w:rPr>
          <w:b/>
        </w:rPr>
        <w:t>E. 2.4</w:t>
      </w:r>
    </w:p>
    <w:p>
      <w:r>
        <w:t>La détention provisoire doit encore être conforme au principe de la proportionnalité (art. 212 al. 3 CPP), dont le respect doit être</w:t>
      </w:r>
    </w:p>
    <w:p>
      <w:r>
        <w:t>- 7 -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les près de dix-huit mois de détention subis à ce jour par V.________ demeurent proportionnés à la peine concrètement encourue par ce dernier. D'ailleurs, à supposer que le jugement rendu par la Cour d'appel pénale fasse l'objet d'un recours au Tribunal fédéral, la détention provisoire infligée au vu des faits admis (violences) ne sera vraisemblablement pas réduite au point d'atteindre une quotité inférieure à la durée de la privation de liberté déjà subie (ATF 139 IV 270).</w:t>
      </w:r>
    </w:p>
    <w:p>
      <w:r>
        <w:rPr>
          <w:b/>
        </w:rPr>
        <w:t>E. 3</w:t>
      </w:r>
    </w:p>
    <w:p>
      <w:r>
        <w:t>En définitive, le maintien en détention de V.________ pour des motifs de sûreté se justifie et sa requête tendant à sa mise en liberté doit être rejetée. Les frais du présent prononcé, par 630 fr. (art. 21 al. 1 TFIP [Tarif des frais de procédure et indemnités en matière pénale du 28 septembre 2010, RSV 312.03.1],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