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PE13.021301 vom 18. September 2014</w:t>
      </w:r>
    </w:p>
    <w:p>
      <w:r>
        <w:t>VD Tribunal cantonal, 2014-09-18, FR</w:t>
      </w:r>
    </w:p>
    <w:p>
      <w:r>
        <w:rPr>
          <w:b/>
        </w:rPr>
        <w:t xml:space="preserve">Quelle: </w:t>
      </w:r>
      <w:r>
        <w:t>https://mcp.opencaselaw.ch/entscheid/vd_gerichte_PE13.021301</w:t>
      </w:r>
    </w:p>
    <w:p>
      <w:r>
        <w:t>FR: VD_GERICHTE PE13.021301 du 18 septembre 2014</w:t>
      </w:r>
    </w:p>
    <w:p>
      <w:r>
        <w:t>IT: VD_GERICHTE PE13.021301 del 18 settembre 2014</w:t>
      </w:r>
    </w:p>
    <w:p>
      <w:pPr>
        <w:pStyle w:val="Heading2"/>
      </w:pPr>
      <w:r>
        <w:t>Erwägungen</w:t>
      </w:r>
    </w:p>
    <w:p>
      <w:r>
        <w:rPr>
          <w:b/>
        </w:rPr>
        <w:t>E. 4</w:t>
      </w:r>
    </w:p>
    <w:p>
      <w:r>
        <w:t>X.________ et le Ministère public contestent la quotité de la peine, le premier la jugeant trop sévère, le second trop clémente.</w:t>
      </w:r>
    </w:p>
    <w:p>
      <w:r>
        <w:t>- 13 -</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4.2</w:t>
      </w:r>
    </w:p>
    <w:p>
      <w:r>
        <w:t>En l’espèce, X.________ s’en est pris physiquement à un fonctionnaire dans le cadre de ses fonctions dans le but, futile, d’influer sur un acte officiel en sachant parfaitement qu’il avait adopté un comportement fautif. Sa culpabilité est importante à cet égard. Ses antécédents sont défavorables. Toutefois, à sa décharge, on retiendra que l’agression s’est limitée à pousser à deux reprises le fonctionnaire avec la paume de ses mains. En application de l'art. 49 al. 2 CP, la peine qu’il convient de prononcer dans le cadre de la présente cause est entièrement complémentaire à la peine de 150 jours-amende prononcée le 2 avril 2014 par le Tribunal de police de l’arrondissement de Lausanne. Pour l’ensemble des infractions commises, la peine globale hypothétique doit être fixée à sept mois (soit 210 jours-amende). La peine prononcée le 2 avril 2014 étant de 150 jours-amende, la peine complémentaire sera arrêtée à 60 jours-amende. Le montant du jour-amende sera quant à lui</w:t>
      </w:r>
    </w:p>
    <w:p>
      <w:r>
        <w:t>- 15 - arrêté à 10 fr. pour tenir compte de la situation personnelle et financière du condamné. Enfin, c’est à raison que le premier juge a considéré que le pronostic était défavorable et que la peine devait être ferme. En effet, la suspension de la peine apparaît dénuée d’efficacité chez ce condamné qui a déjà bénéficié d’un sursis par le passé – lequel a été révoqué – et chez lequel même les condamnations à des peines fermes n’ont pas eu l’effet dissuasif que l’on était en droit d’attendre.</w:t>
      </w:r>
    </w:p>
    <w:p>
      <w:r>
        <w:rPr>
          <w:b/>
        </w:rPr>
        <w:t>E. 5</w:t>
      </w:r>
    </w:p>
    <w:p>
      <w:r>
        <w:t>En définitive, l’appel de X.________ doit être rejeté, celui du Ministère public partiellement admis et le jugement entrepris réformé dans le sens des considérants qui précèdent. Vu l’issue de la cause, les frais de la procédure d’appel, constitués du seul émolument d’arrêt, par 1’390 fr. (art. 21 al. 1 et 2 TFIP [Tarif des frais de procédure et indemnités en matière pénale du 28 septembre 2010; RSV 312.03.1]), doivent être mis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