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PE13.021151 vom 19. Oktober 2015</w:t>
      </w:r>
    </w:p>
    <w:p>
      <w:r>
        <w:t>VD Tribunal cantonal, 2015-10-19, FR</w:t>
      </w:r>
    </w:p>
    <w:p>
      <w:r>
        <w:rPr>
          <w:b/>
        </w:rPr>
        <w:t xml:space="preserve">Quelle: </w:t>
      </w:r>
      <w:r>
        <w:t>https://mcp.opencaselaw.ch/entscheid/vd_gerichte_PE13.021151</w:t>
      </w:r>
    </w:p>
    <w:p>
      <w:r>
        <w:t>FR: VD_GERICHTE PE13.021151 du 19 octobre 2015</w:t>
      </w:r>
    </w:p>
    <w:p>
      <w:r>
        <w:t>IT: VD_GERICHTE PE13.021151 del 19 ottobre 2015</w:t>
      </w:r>
    </w:p>
    <w:p>
      <w:pPr>
        <w:pStyle w:val="Heading2"/>
      </w:pPr>
      <w:r>
        <w:t>Erwägungen</w:t>
      </w:r>
    </w:p>
    <w:p>
      <w:r>
        <w:rPr>
          <w:b/>
        </w:rPr>
        <w:t>E. 1.1</w:t>
      </w:r>
    </w:p>
    <w:p>
      <w:r>
        <w:t>Selon l’art. 368 al. 1 CPP, si le jugement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(Thalmann in : Kuhn/Jeanneret [éd.], Commentaire romand, Code de procédure pénale suisse, 2011, n. 4 ad art. 368; Moreillon/Parein- Reymond, Petit commentaire, Code de procédure pénale, Bâle 2013, n. 4 ad art. 368). La notification personnelle exclut la notification à l'avocat du condamné absent, de même qu'une notification dans la Feuille d'avis officielle. Elle a lieu aux conditions des art. 85 à 87 CPP (CAPE du 6 mai 2015/188 ; Thalmann, op. cit., n. 3 ad art. 368 et la référence citée; Moreillon/Parein-Reymond, op. cit., n. 4 ad art. 368 CPP). Le Tribunal fédéral a précisé que cette disposition n'avait d'autre portée que de permettre de déterminer le point de départ du délai</w:t>
      </w:r>
    </w:p>
    <w:p>
      <w:r>
        <w:t>- 4 - de dix jours pour demander un nouveau jugement (TF 6B_346/2011 du 1er juillet 2011 consid. 3 et les références citées).</w:t>
      </w:r>
    </w:p>
    <w:p>
      <w:r>
        <w:rPr>
          <w:b/>
        </w:rPr>
        <w:t>E. 1.2</w:t>
      </w:r>
    </w:p>
    <w:p>
      <w:r>
        <w:t>Selon l’art. 371 al. 1 CPP, tant que court le délai d’appel, le condamné peut faire une déclaration d’appel contre un jugement rendu par défaut parallèlement à sa demande de nouveau jugement ou au lieu de celle-ci. Il doit en être informé conformément à l’art. 368 al. 1 CPP.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(Thalmann, op. cit., n. 2 ad art. 371).</w:t>
      </w:r>
    </w:p>
    <w:p>
      <w:r>
        <w:rPr>
          <w:b/>
        </w:rPr>
        <w:t>E. 1.3</w:t>
      </w:r>
    </w:p>
    <w:p>
      <w:r>
        <w:t>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lorsque, expédié par lettre signature, il n’a pas été retiré dans les sept jours à compter de la tentative infruc- tueuse de remise du pli, si la personne concernée devait s’attendre à une telle remise (art. 85 al. 4 let. a CPP). Selon la jurisprudence, la notification fictive de l’art. 85 al. 4 let. a CPP n’est admise que lorsque le destinataire devait,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w:t>
      </w:r>
    </w:p>
    <w:p>
      <w:r>
        <w:t>- 5 - pendant toute la durée de la procédure (Macaluso/Toffel, in : Kuhn/Jeanneret [éd.], Commentaire Romand, op. cit., n. 33 ad art. 85 CPP ; ATF 139 IV 228 consid. 1 ; TF 6B_314/2012 du 18 février 2013 consid. 1.3.1 ; TF 6B_70/2011 du 1er juillet 2011 consid. 2.2.3 ; TF 4A_246/2009 consid. 3.2 ; ATF 130 III 396 consid.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consid. 1.3 ; TF 6B_158/2012 du 27 juillet 2012 consid. 2.1 ; ATF 116 Ia 90 consid. 2c).</w:t>
      </w:r>
    </w:p>
    <w:p>
      <w:r>
        <w:rPr>
          <w:b/>
        </w:rPr>
        <w:t>E. 1.4</w:t>
      </w:r>
    </w:p>
    <w:p>
      <w:r>
        <w:t>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(al. 2). S’agissant particulièrement d’un envoi depuis l’étranger, la Poste suisse doit être en possession de celui-ci dans le délai imparti. Ainsi, la seule remise à un bureau postal étranger n’est pas assimilé à une remise à un bureau de poste suisse (Moreillon/Parein-Reymond, op. cit., n. 9 ad art. 91 CPP).</w:t>
      </w:r>
    </w:p>
    <w:p>
      <w:r>
        <w:rPr>
          <w:b/>
        </w:rPr>
        <w:t>E. 2.1</w:t>
      </w:r>
    </w:p>
    <w:p>
      <w:r>
        <w:t>En l’espèce, D.________ savait qu’il faisait l’objet d’une enquête pénale dès lors qu’il avait été entendu dans le cadre de la présente affaire le 14 octobre 2014 par les autorités portugaises ensuite d’une demande d’entraide judiciaire et d’une commission rogatoire ordonnée par le Ministère public de l’arrondissement de Lausanne. A cette occasion, il a</w:t>
      </w:r>
    </w:p>
    <w:p>
      <w:r>
        <w:t>- 6 - communiqué aux autorités portugaises l’adresse à laquelle des envois pouvaient lui être adressés (P.14, p. 31). En outre, les mandats de comparution notifiés les 9 avril 2015 et 22 juillet 2015 par le Tribunal d’arrondissement de Lausanne à son adresse portugaise lui sont parvenus. Force est ainsi de constater que D.________ savait qu’il faisait l’objet d’une procédure pénale et qu’il devait s’attendre à recevoir un jugement. Par conséquent, le dispositif du 23 octobre 2015 adressé par pli recommandé à D.________ à l’adresse qu’il avait communiquée aux autorités doit être considéré comme lui ayant été valablement et personnellement notifié.</w:t>
      </w:r>
    </w:p>
    <w:p>
      <w:r>
        <w:rPr>
          <w:b/>
        </w:rPr>
        <w:t>E. 2.2</w:t>
      </w:r>
    </w:p>
    <w:p>
      <w:r>
        <w:t>Au vu de ce qui précède, il y a lieu d’examiner si l’acte déposé le 23 novembre 2015 par l’avocat d’D.________ en son nom, en tant qu’il est considéré comme une annonce d’appel, est recevable. En l’occurrence, le dispositif du jugement par défaut a été adressé à D.________ sous pli recommandé le 23 octobre 2015. La Poste portugaise a tenté de lui distribuer cet envoi le 3 novembre 2015, en vain. En tenant compte du délai de garde de sept jours, le délai de D.________ pour demander un nouveau jugement ainsi que pour annoncer un appel est venu à échéance le 20 novembre 2015. Or l’acte déposé par l’avocat de D.________, daté du 18 novembre, n’a été déposé à la Poste portugaise que le 23 novembre 2015, puis est arrivé à la frontière suisse le 25 novembre 2015. Il en découle que le délai de dix jours n’a pas été respecté tant lors de la remise du pli à la Poste d’Amarante (Portugal) que lors de sa remise à la Poste suisse, si bien que l’acte par lequel D.________ a fait appel doit être déclaré irrecevable pour tardivité. Il en aurait été de même d’une éventuelle demande de relief.</w:t>
      </w:r>
    </w:p>
    <w:p>
      <w:r>
        <w:rPr>
          <w:b/>
        </w:rPr>
        <w:t>E. 3</w:t>
      </w:r>
    </w:p>
    <w:p>
      <w:r>
        <w:t>Par conséquent l’appel doit être déclaré irrecevable. La présente décision est rendue sans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