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PE13.020935 vom 19. Februar 2014</w:t>
      </w:r>
    </w:p>
    <w:p>
      <w:r>
        <w:t>VD Tribunal cantonal, 2014-02-19, FR</w:t>
      </w:r>
    </w:p>
    <w:p>
      <w:r>
        <w:rPr>
          <w:b/>
        </w:rPr>
        <w:t xml:space="preserve">Quelle: </w:t>
      </w:r>
      <w:r>
        <w:t>https://mcp.opencaselaw.ch/entscheid/vd_gerichte_PE13.020935</w:t>
      </w:r>
    </w:p>
    <w:p>
      <w:r>
        <w:t>FR: VD_GERICHTE PE13.020935 du 19 février 2014</w:t>
      </w:r>
    </w:p>
    <w:p>
      <w:r>
        <w:t>IT: VD_GERICHTE PE13.020935 del 19 febbraio 2014</w:t>
      </w:r>
    </w:p>
    <w:p>
      <w:pPr>
        <w:pStyle w:val="Heading2"/>
      </w:pPr>
      <w:r>
        <w:t>Erwägungen</w:t>
      </w:r>
    </w:p>
    <w:p>
      <w:r>
        <w:rPr>
          <w:b/>
        </w:rPr>
        <w:t>E. 1.1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Selon l'art. 90 CPP, les délais fixés en jours commencent à courir le jour qui suit leur notification ou l'événement qui les déclenche (al. 1); si le dernier jour du délai est un samedi, un dimanche ou un jour férié selon le droit fédéral ou cantonal, le délai expire le premier jour ouvrable qui suit (al. 2). En vertu de l'art. 91 CPP, le délai est réputé observé si l'acte de procédure est accompli auprès de l'autorité compétente au plus tard le dernier jour du délai (al. 1) ; les écrits doivent être remis au plus tard le dernier jour du délai à l’autorité pénale, à la Poste suisse, à une représentation consulaire ou diplomatique suisse ou, s’agissant de personnes détenues, à la direction de l’établissement carcéral (al. 2).</w:t>
      </w:r>
    </w:p>
    <w:p>
      <w:r>
        <w:rPr>
          <w:b/>
        </w:rPr>
        <w:t>E. 1.2</w:t>
      </w:r>
    </w:p>
    <w:p>
      <w:r>
        <w:t>L’ordonnance attaquée, envoyée par courrier B aux parties le mercredi 27 novembre 2013 (PV des opérations du 18 février 2014, p. 2), a été vraisemblablement reçue 3 jours ouvrables plus tard, soit le lundi 2 décembre 2013. Le délai de recours a donc commencé à courir le mardi 3 décembre 2013, pour venir à échéance le 12 décembre 2013. Déposé le 11 décembre 2013 dans un bureau de poste suisse, le recours a ainsi été interjeté en temps utile et de surcroît dans les formes prescrites (art. 385 al. 1 CPP), de sorte qu’il est recevable.</w:t>
      </w:r>
    </w:p>
    <w:p>
      <w:r>
        <w:rPr>
          <w:b/>
        </w:rPr>
        <w:t>E. 2</w:t>
      </w:r>
    </w:p>
    <w:p>
      <w:r>
        <w:t>CPP (ATF 138 IV 241 c. 2.5). Dès lors que le classement doit faire l’objet d’un prononcé séparé, écrit et motivé, il ne saurait être glissé et mélangé au contenu d’une ordonnance pénale (ATF 138 IV 241) ou d’un acte d’accusation (CREP 27 mai 2013/294). En l’espèce, tant dans sa plainte de décembre 2011 que dans celle de juin 2013, la recourante reproche au prévenu de l’avoir, lors d’une séparation difficile en octobre 2010, traitée de « pute » et de « sale singe ». Les plaintes déposées pour dénoncer ces injures, même la première le 14 décembre 2011, paraissent cependant tardives (art. 31 CP), sans que le procureur n’ait statué sur cet aspect dans son ordonnance. Il s’agit donc d’un classement implicite.</w:t>
      </w:r>
    </w:p>
    <w:p>
      <w:r>
        <w:t>- 9 - Pour ce motif aussi, l’ordonnance doit être annulée et le dossier renvoyé au Ministère public afin qu’il examine si la plainte déposée par la recourante l’a été en temps utile.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w:t>
      </w:r>
    </w:p>
    <w:p>
      <w:r>
        <w:t>- 7 -</w:t>
      </w:r>
    </w:p>
    <w:p>
      <w:r>
        <w:rPr>
          <w:b/>
        </w:rPr>
        <w:t>E. 2.2</w:t>
      </w:r>
    </w:p>
    <w:p>
      <w:r>
        <w:t>Aux termes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Cette disposition protège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L'atteinte à l'honneur pénalement réprimée doit faire apparaître la personne visée comme méprisable (ATF 137 IV 313 c. 2.1.1; ATF 133 IV 308 c. 8.5.1). L’infraction est intentionnelle (Corboz, Les infractions en droit suisse, 3e éd., vol. I, Berne 2010, n. 11 ad art. 174 CP) et l'auteur doit savoir – le dol éventuel n'est pas suffisant – que le fait qu'il allègue est faux (Corboz, op. cit., n. 1 ad art. 174 CP; Favre/Pellet/Stoudmann, Code pénal annoté, 3e éd., Lausanne 2007, n. 1.1 ad art. 174 CP).</w:t>
      </w:r>
    </w:p>
    <w:p>
      <w:r>
        <w:rPr>
          <w:b/>
        </w:rPr>
        <w:t>E. 2.3</w:t>
      </w:r>
    </w:p>
    <w:p>
      <w:r>
        <w:t>En l’espèce, la recourante reproche au prévenu d’avoir fait paraître de fausses annonces érotiques avec son nom et son numéro de téléphone. Ces faits relèvent de la calomnie. Il est vrai que les pièces produites par la recourante dans le cadre de la procédure n’établissent rien (P. 11). En revanche, il n’est pas exact d’affirmer – comme l’a fait le Ministère public – que le prévenu conteste les faits reprochés. Il ressort en effet du rapport de police établi le 3 avril 2012 à la suite de la première plainte de la recourante en décembre 2011 que le prévenu a admis avoir lui aussi sali le nom de H.________ en profitant des mêmes sites sociaux (P. 8, p. 3). Dans la mesure où cette audition ne figure pas au dossier, il est cependant difficile de se prononcer sur la portée exacte de cet aveu. En l’état, il y a lieu</w:t>
      </w:r>
    </w:p>
    <w:p>
      <w:r>
        <w:t>- 8 - d’annuler l’ordonnance et de renvoyer la cause au Procureur pour qu’il fasse au moins verser l’audition du prévenu au dossier et en tire les conclusions qu’il jugera utiles.</w:t>
      </w:r>
    </w:p>
    <w:p>
      <w:r>
        <w:rPr>
          <w:b/>
        </w:rPr>
        <w:t>E. 2.4</w:t>
      </w:r>
    </w:p>
    <w:p>
      <w:r>
        <w:t>L’art. 31 CP dispose que le droit de porter plainte se prescrit par trois mois. Le délai court du jour où l’ayant droit a connu l’auteur de l’infraction.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1ère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w:t>
      </w:r>
    </w:p>
    <w:p>
      <w:r>
        <w:rPr>
          <w:b/>
        </w:rPr>
        <w:t>E. 3</w:t>
      </w:r>
    </w:p>
    <w:p>
      <w:r>
        <w:t>En définitive, le recours doit être admis, l’ordonnance de classement du 27 novembre 2013 annulée et le dossier renvoyé au Ministère public pour qu’il procède dans le sens des considérants. Vu l’issue de la cause, les frais de la procédure de recours, constitués en l’espèce du seul émolument d'arrêt (art. 422 al. 1 CPP), par 880 fr. (art. 20 al. 1 TFJP [tarif des frais judiciaires pénaux du 28 septembre 2010; RSV 312.03.1]), seront laissés à la charge de l’Etat (art. 428 al. 4 CPP). La requête de la recourante tendant à l’octroi de l’assistance judiciaire pour la procédure de recours est ainsi sans objet. Par ces motifs, la Chambre des recours pénale, statuant à huis clos, prononce : I. Le recours est admis. II. L'ordonnance du 27 novembre 2013 est annulée et le dossier de la cause est renvoyé au Ministère public de l’arrondissement de La Côte pour qu'il procède dans le sens des considérants. III. Les frais de la procédure de recours, par 880 fr. (huit cent huitante francs), sont laissés à la charge de l’Etat. IV. Le présent arrêt est exécutoire. Le président : La greffière :</w:t>
      </w:r>
    </w:p>
    <w:p>
      <w:r>
        <w:t>- 10 - Du L'arrêt qui précède, dont la rédaction a été approuvée à huis clos, est notifié, par l'envoi d'une copie complète, à : - Mme H.________, - M. B.________,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