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PE13.020712 vom 18. September 2014</w:t>
      </w:r>
    </w:p>
    <w:p>
      <w:r>
        <w:t>VD Tribunal cantonal, 2014-09-18, FR</w:t>
      </w:r>
    </w:p>
    <w:p>
      <w:r>
        <w:rPr>
          <w:b/>
        </w:rPr>
        <w:t xml:space="preserve">Quelle: </w:t>
      </w:r>
      <w:r>
        <w:t>https://mcp.opencaselaw.ch/entscheid/vd_gerichte_PE13.020712</w:t>
      </w:r>
    </w:p>
    <w:p>
      <w:r>
        <w:t>FR: VD_GERICHTE PE13.020712 du 18 septembre 2014</w:t>
      </w:r>
    </w:p>
    <w:p>
      <w:r>
        <w:t>IT: VD_GERICHTE PE13.020712 del 18 settembre 2014</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Invoquant la présomption d'innocence, l'appelante fait valoir que le premier juge a procédé à une appréciation erronée des faits en retenant qu'elle avait porté des coups à T.________. Elle se réfère à diverses déclarations de témoins pour étayer sa manière de voir.</w:t>
      </w:r>
    </w:p>
    <w:p>
      <w:r>
        <w:t>- 11 -</w:t>
      </w:r>
    </w:p>
    <w:p>
      <w:r>
        <w:rPr>
          <w:b/>
        </w:rPr>
        <w:t>E. 3.1</w:t>
      </w:r>
    </w:p>
    <w:p>
      <w:r>
        <w:t>L'appelante fait tout d'abord valoir que les déclarations de U.________ devraient être écartées dans la mesure où ce dernier n'aurait, selon son propre aveu, pas pu voir la scène (cf. mémoire d'appel, p. 4). Or, le témoin U.________ dit précisément le contraire puisqu'il a pu décrire les faits assez précisément et expliquer que le sgt B.________ était à côté de l'app. I.________, presque en face mais plutôt sur la gauche d'T.________ (PV aud. 4, lignes 45 ss). U.________ se trouvait à l'extérieur du triangle formé par B.________, M.________ et I.________. Il avait donc un autre angle de vue que le témoin B.________ qui, lui, a déclaré qu'il se trouvait sur la gauche de la personne appréhendée (PV aud. 3, l. 5). C'est à tort que l'appelante en conclut que le témoignage U.________ ne pouvait, dans ces circonstances, être retenu car, selon elle, il ne pouvait rien voir de la scène. Sa tentative de démonstration n'est en rien convaincante, dès lors que l'on ne dispose d'aucun autre élément au dossier pour retenir que U.________ ne pouvait absolument pas voir la personne appréhendée, comme le prétend l'appelante.</w:t>
      </w:r>
    </w:p>
    <w:p>
      <w:r>
        <w:rPr>
          <w:b/>
        </w:rPr>
        <w:t>E. 3.2</w:t>
      </w:r>
    </w:p>
    <w:p>
      <w:r>
        <w:t>L'appelante soutient ensuite que les témoins M.________ et B.________ ont à tout le moins menti à une occasion car leurs déclarations peu après les faits (cf. P. 4/2 et 4/3) ne correspondent pas à celles qu'ils ont faites plus tard durant l'enquête. La pièce 4/2 est une note de service établie par l'adj F.________, qui retrace notamment une discussion qu'il a eue avec l'agte M.________. Il ne s'agit pas des termes utilisés par la jeune femme elle-même, qui n'a été entendue que plus tard, une fois l'enquête ouverte (PV. aud. 2). Il n'y a donc pas de comparaison possible entre ces deux documents. Quant à la pièce 4/3, il s'agit d'une note de service établie le 16 août 2013 par le sgt B.________, à la suite des événements du</w:t>
      </w:r>
    </w:p>
    <w:p>
      <w:r>
        <w:rPr>
          <w:b/>
        </w:rPr>
        <w:t>E. 3.3</w:t>
      </w:r>
    </w:p>
    <w:p>
      <w:r>
        <w:t>L'appelante soutient aussi que, si tant est que l'on doive suivre les témoignages de ses collègues, ces derniers auraient mal interprété les gestes qu'elle a eu envers T.________. Or, à lire les déclarations des témoins M.________, U.________ et B.________, chacun a perçu un mouvement de recharge du bras de la part d'I.________, le dernier nommé allant jusqu'à lui dire "Stop, c'est bon" (PV aud. 3, l. 78). De plus, la scène était pénible pour tout le monde, car T.________ criait sans cesse et ne se calmait pas – l'appelante ayant elle- même décrit comme une intervention extraordinaire à plus d'un titre (cf. P. 4/5) et déclaré à sa collègue M.________ qu'elle avait été énervée par le fait que la personne appréhendée ne se calmait pas (cf. PV aud. 2, l. 86).</w:t>
      </w:r>
    </w:p>
    <w:p>
      <w:r>
        <w:t>- 13 - Dans ces circonstances, on ne saurait voir dans les faits litigieux un malentendu, comme le voudrait l'appelante.</w:t>
      </w:r>
    </w:p>
    <w:p>
      <w:r>
        <w:rPr>
          <w:b/>
        </w:rPr>
        <w:t>E. 3.4</w:t>
      </w:r>
    </w:p>
    <w:p>
      <w:r>
        <w:t>L'appelante fait aussi grief au premier juge d'avoir retenu que ses propos étaient incohérents lorsqu'il s'était agi d’expliquer pourquoi la personne appréhendée avait saigné du nez. Dans un premier temps, l’appelante a mis ce saignement sur le compte de son geste, soit d’avoir placé sa main sur la bouche d'T.________. Dans un second temps, elle a déclaré ne pas savoir pour quelles raisons la jeune femme avait saigné du nez. C’est effectivement une incohérence soit, au sens littéral du terme, un illogisme, si on les rapporte aux propos qui précèdent. Ce point n’est toutefois pas déterminant pour le traitement de l’appel car ce n’est pas sur ce manque de suite logique de propos tenus successivement que s’est forgée la conviction du tribunal.</w:t>
      </w:r>
    </w:p>
    <w:p>
      <w:r>
        <w:rPr>
          <w:b/>
        </w:rPr>
        <w:t>E. 3.5</w:t>
      </w:r>
    </w:p>
    <w:p>
      <w:r>
        <w:t>L’appelante met enfin en avant sa personnalité pour soutenir qu’il est impossible qu’elle ait pu se livrer à des voies de fait sur la personne appréhendée. Cet argument n’est pas relevant, tant il est vrai qu’une personne d’un naturel calme peut perdre ses moyens si elle est confrontée à une situation décrite par elle-même comme extraordinaire à plus d’un titre. On peut d'ailleurs relever à cet égard que lors de l’intervention, l’appelante a élevé la voix et que l’acte qui lui a été reproché a surpris ses collègues.</w:t>
      </w:r>
    </w:p>
    <w:p>
      <w:r>
        <w:rPr>
          <w:b/>
        </w:rPr>
        <w:t>E. 3.6</w:t>
      </w:r>
    </w:p>
    <w:p>
      <w:r>
        <w:t>En définitive, aucun des moyens invoqués par l'appelante pour mettre en doute les faits tels qu'ils ont été finalement retenus par le premier juge n'est retenu. Mal fondé, son appel doit donc être rejeté lorsqu'il remet en cause l'appréciation des preuves faite par le Tribunal de police. 4. L'appelante conteste s'être rendue coupable d'abus d'autorité. 4.1 Aux termes de l'art. 312 CP, les membres d'une autorité et les fonctionnaires qui, dans le dessein de se procurer ou de procurer à un tiers un avantage illicite, ou dans le dessein de nuire à autrui, auront abusé des</w:t>
      </w:r>
    </w:p>
    <w:p>
      <w:r>
        <w:t>- 14 -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 1b; TF 6S.171/2005 du 30 mai 2005 c. 2.1).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(ATF 127 IV 209 c. 1a/aa; 114 IV 43; 113 IV 30 c. 1). L'infraction peut aussi être réalisée lorsque l'auteur poursuit un but légitime, mais recourt, pour l'atteindre, à des moyens disproportionnés (ATF 113 IV 30 c. 1; 104 IV 22 c. 2). La jurisprudence a récemment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 1b).</w:t>
      </w:r>
    </w:p>
    <w:p>
      <w:r>
        <w:t>- 15 -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 et 10 al. 3 Cst. (cf., pour l’art. 3 CEDH, arrêt de la Cour européenne des droits de l’homme Rivas c. France du 1er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1er avril 2004, précité, § 38; cf. ég. TF 6B_274/2009 du 16 février 2010 c. 3.1.2.2). Le Tribunal fédéral a ainsi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 2.5). Le Tribunal fédéral a aussi confirmé deux cas jugés par la Cour de céans, l'un concernant un policier qui avait frappé un jeune homme menotté qui l’avait injurié (CAPE 23 juin 2011/57, confirmé par arrêt du TF 6B_699/2011 du 26 janvier 201), l'autre relatif à un agent qui avait violemment poussé une personne au fond de sa cellule(CAPE du 20 juin 2011/42, confirmé par TF 6B_615/2011 du 20 janvier 2012). Du point de vue subjectif, l’infraction suppose un comportement intentionnel, au moins sous la forme du dol éventuel. L’auteur doit avoir conscience de son statut et accepter l’éventualité</w:t>
      </w:r>
    </w:p>
    <w:p>
      <w:r>
        <w:t>- 16 -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 2.1). 4.2 En l'occurrence, il est constant qu'au moment des faits incriminés, la prévenue accomplissait sa tâche de policière et était détentrice de la puissance publique. Lorsqu'T.________ se trouvait menottée, assise par terre et encadrée de deux policiers, l’appelante lui a asséné deux coups successifs à la face. Chacun sait qu’un coup porté à la face, même paume ouverte, est susceptible de porter atteinte à l’intégrité physique de la personne visée. Dans les circonstances d’espèce, le moyen employé était disproportionné puisque l’appelante n’avait pas à craindre pour sa sécurité. Il n’était pas davantage justifié par l’exercice de la puissance publique. Subjectivement, on ne saurait considérer, comme le voudrait l'appelante, que, motivée par un trop plein d’empathie, elle ne cherchait qu'à aider la personne interpellée et, partant, que son intention de nuire ferait défaut dans le cas particulier. Cette manière de voir n'est en effet qu'une hypothèse qui a été évoquée par le tribunal (cf. jgt, p. 16). Ce que retient surtout le jugement c'est que les raisons du comportement de l'appelante demeurent obscures. Quoi qu'il en soit, l'appelante se trompe lorsqu'elle met en avant sa motivation qu'elle dit exempte de mauvaise intention pour en déduire qu'elle n'avait pas l'intention de nuire. Elle confond ici ses motivations, en d'autres termes son mobile, avec son intention, soit sa conscience et sa volonté. Or ces deux notions ne se confondent pas: on peut enfreindre la loi en poursuivant un mobile honorable ou vil. Cela ne change rien à l'intention dont peut être animée un prévenu. En l'occurrence, les coups portés au visage d'T.________ sont intervenus alors que l'intervention était terminée et que la jeune femme était maîtrisée. L'appelante avait conscience de son statut de policière lors de l'acte incriminé et, à tout le moins, a accepté l'éventualité d'abuser des pouvoirs liés à sa charge. En l'espèce, il n'y a pas d'autres mobiles que celui de nuire, dans un contexte particulier d'énervement. La</w:t>
      </w:r>
    </w:p>
    <w:p>
      <w:r>
        <w:t>- 17 - condamnation de l’appelante pour abus d’autorité ne viole ainsi pas le droit fédéral. Elle doit être confirmée.</w:t>
      </w:r>
    </w:p>
    <w:p>
      <w:r>
        <w:rPr>
          <w:b/>
        </w:rPr>
        <w:t>E. 5</w:t>
      </w:r>
    </w:p>
    <w:p>
      <w:r>
        <w:t>Reste à déterminer si la peine pécuniaire de sept jours- amende à 80 fr. le jour est adéquate à réprimer le comportement de l'appelante, ce que celle-ci conteste. En l'occurrence, l'appréciation formulée par le premier juge est pleinement convaincante. La faute commise par I.________ est extrêmement légère, ce d'autant que les circonstances dans lesquelles l'intervention a eu lieu étaient délicates, vu le comportement proche de l'hystérie d'T.________. A cela s'ajoute les états de service exemplaires de l'appelante et ses qualités humaines relevées par nombres d'intervenants. L'appelante est apparue ébranlée aux débats de ce jour. Il n'en demeure pas moins qu'elle n'a toujours pas reconnu sa faute ni formulé la moindre excuse pour son geste qui s'est avéré inapproprié. Dans ces circonstances, la peine prononcée par le tribunal de police est adéquate et doit être confirmée.</w:t>
      </w:r>
    </w:p>
    <w:p>
      <w:r>
        <w:rPr>
          <w:b/>
        </w:rPr>
        <w:t>E. 6</w:t>
      </w:r>
    </w:p>
    <w:p>
      <w:r>
        <w:t>En définitive, l'appel d'I.________ doit être rejeté et le jugement du 18 septembre 2014 intégralement confirmé. Vu l'issue de la cause, les frais d'appel, constitués en l'espèce du seul émolument d’arrêt (art. 21 al. 1 et 2 TFIP [Tarif des frais de procédure et indemnités en matière pénale du 28 septembre 2010; RSV 312.03.1]), par 1'720 fr., doivent être mis à la charge d'I.________,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