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PE13.020201 vom 25. August 2016</w:t>
      </w:r>
    </w:p>
    <w:p>
      <w:r>
        <w:t>VD Tribunal cantonal, 2016-08-25, FR</w:t>
      </w:r>
    </w:p>
    <w:p>
      <w:r>
        <w:rPr>
          <w:b/>
        </w:rPr>
        <w:t xml:space="preserve">Quelle: </w:t>
      </w:r>
      <w:r>
        <w:t>https://mcp.opencaselaw.ch/entscheid/vd_gerichte_PE13.020201</w:t>
      </w:r>
    </w:p>
    <w:p>
      <w:r>
        <w:t>FR: VD_GERICHTE PE13.020201 du 25 août 2016</w:t>
      </w:r>
    </w:p>
    <w:p>
      <w:r>
        <w:t>IT: VD_GERICHTE PE13.020201 del 25 agosto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L'appelant ne conteste pas les quotités de la peine et du montant du jour-amende. Vérifiées d'office, celles-ci peuvent être confirmées.</w:t>
      </w:r>
    </w:p>
    <w:p>
      <w:r>
        <w:rPr>
          <w:b/>
        </w:rPr>
        <w:t>E. 5</w:t>
      </w:r>
    </w:p>
    <w:p>
      <w:r>
        <w:t>En définitive, il résulte de ce qui précède que l’appel doit être rejeté et le jugement entrepris confirmé. Vu l’issue de la cause, les frais d’appel, par 1'720 fr. (art. 21 al. 1 et 2 [Tarif des frais de procédure et indemnités en matière pénale du 28 septembre 2010 ; RSV 312.03.1]), seront mis à la charge de A.R.________, qui succombe (art. 428 al. 1 CPP). Dans la mesure où la condamnation de l'appelant est confirmée, il n'y a pas lieu de lui allouer une indemnité fondée sur l'art. 429 CPP.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