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PE13.019006 vom 18. September 2014</w:t>
      </w:r>
    </w:p>
    <w:p>
      <w:r>
        <w:t>VD Tribunal cantonal, 2014-09-18, FR</w:t>
      </w:r>
    </w:p>
    <w:p>
      <w:r>
        <w:rPr>
          <w:b/>
        </w:rPr>
        <w:t xml:space="preserve">Quelle: </w:t>
      </w:r>
      <w:r>
        <w:t>https://mcp.opencaselaw.ch/entscheid/vd_gerichte_PE13.019006</w:t>
      </w:r>
    </w:p>
    <w:p>
      <w:r>
        <w:t>FR: VD_GERICHTE PE13.019006 du 18 septembre 2014</w:t>
      </w:r>
    </w:p>
    <w:p>
      <w:r>
        <w:t>IT: VD_GERICHTE PE13.019006 del 18 settembre 2014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CP. Le chiffre IV du dispositif du jugement attaqué sera donc modifié dans ce sens.</w:t>
      </w:r>
    </w:p>
    <w:p>
      <w:r>
        <w:rPr>
          <w:b/>
        </w:rPr>
        <w:t>E. 6.1</w:t>
      </w:r>
    </w:p>
    <w:p>
      <w:r>
        <w:t>En conclusion, l’appel de V.________ est rejeté. Celui du Ministère public est admis et le jugement attaqué modifié dans le sens des considérants qui précèdent ; il est confirmé pour le surplus.</w:t>
      </w:r>
    </w:p>
    <w:p>
      <w:r>
        <w:rPr>
          <w:b/>
        </w:rPr>
        <w:t>E. 6.2</w:t>
      </w:r>
    </w:p>
    <w:p>
      <w:r>
        <w:t>Vu l'issue de la cause, les frais de la procédure d'appel, comprenant l’indemnité allouée au défenseur d’office de V.________,</w:t>
      </w:r>
    </w:p>
    <w:p>
      <w:r>
        <w:t>- 38 - arrêtée à 2’872 fr. 80, TVA et débours compris, selon liste des opérations (pièce 144), seront mis à la charge du prévenu, qui succombe (art. 428 al. 1 CPP).</w:t>
      </w:r>
    </w:p>
    <w:p>
      <w:r>
        <w:rPr>
          <w:b/>
        </w:rPr>
        <w:t>E. 6.3</w:t>
      </w:r>
    </w:p>
    <w:p>
      <w:r>
        <w:t>V.________ ne sera tenu de rembourser à l’Etat le montant de l'indemnité en faveur de son défenseur d'office que lorsque sa situation financière le permettra (art. 135 al. 4 let. a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