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PE13.018789 vom 12. Juli 2017</w:t>
      </w:r>
    </w:p>
    <w:p>
      <w:r>
        <w:t>VD Tribunal cantonal, 2017-07-12, FR</w:t>
      </w:r>
    </w:p>
    <w:p>
      <w:r>
        <w:rPr>
          <w:b/>
        </w:rPr>
        <w:t xml:space="preserve">Quelle: </w:t>
      </w:r>
      <w:r>
        <w:t>https://mcp.opencaselaw.ch/entscheid/vd_gerichte_PE13.018789</w:t>
      </w:r>
    </w:p>
    <w:p>
      <w:r>
        <w:t>FR: VD_GERICHTE PE13.018789 du 12 juillet 2017</w:t>
      </w:r>
    </w:p>
    <w:p>
      <w:r>
        <w:t>IT: VD_GERICHTE PE13.018789 del 12 luglio 2017</w:t>
      </w:r>
    </w:p>
    <w:p>
      <w:pPr>
        <w:pStyle w:val="Heading2"/>
      </w:pPr>
      <w:r>
        <w:t>Erwägungen</w:t>
      </w:r>
    </w:p>
    <w:p>
      <w:r>
        <w:rPr>
          <w:b/>
        </w:rPr>
        <w:t>E. 1</w:t>
      </w:r>
    </w:p>
    <w:p>
      <w:r>
        <w:t>Originaire de [...], P.________ est né le [...] 1979 à Bombay en Inde. Il est marié. Après avoir travaillé en dernier lieu comme informaticien à 100 % pour la société [...], il est désormais à son compte sous la raison individuelle [...], activité dont il prétend ne retirer aucun revenu. Pour sa part, son épouse œuvre comme coiffeuse à 50 % et réalise à ce titre un salaire mensuel de 1'800 fr. ; pour le surplus elle est indépendante dans le domaine de la pose d’extensions, occupation qui lui procure un gain dont le montant est ignoré. Le loyer du couple s’élève à 3'200 fr., charges comprises, et la prime d’assurance maladie du prévenu à environ 400 fr. par mois. Ce dernier ne paie pas d’impôts. Il n’a ni économies ni fortune, mais des dettes pour un montant qui dépasserait 100'000 francs. Son casier judiciaire suisse mentionne les condamnations suivantes : - 26 avril 2006 : Cour de cassation pénale du canton de Vaud, mise en danger de la vie d’autrui, brigandage (danger particulier), brigandage, enlèvement, prise d’otage et entrave aux services d’intérêt général, peine de réclusion de 8 ans et traitement ambulatoire, sous déduction de 669 jours de détention préventive, libération conditionnelle accordée le 29 décembre 2010 ; - 24 août 2009 : Tribunal militaire 1 du canton de Berne, inobservation des prescriptions de service, abus et dilapidation du matériel, délit contre la loi fédérale sur les armes, conducteurs se trouvant dans l’incapacité de conduire (véhicule autom., taux alcoolémie qualifié) et vol d’usage, aucune peine additionnelle, peine complémentaire au jugement du 26 avril 2006 ; - 29 août 2011 : Ministère public de l’arrondissement de Lausanne, conducteurs se trouvant dans l’incapacité de conduire (véhicule autom., taux alcoolémie qualifié) et conduite sans permis de conduire ou malgré un retrait (véhicule automobile), peine pécuniaire de 40 jours- amende à 30 fr. le jour-amende ; - 18 octobre 2012 : Ministère public de l’arrondissement de La Côte, conduite d’un véhicule automobile malgré le refus, le retrait ou l’interdiction de l’usage du permis, peine pécuniaire de 30 jours-amende à 30 fr. le jour-amende ;</w:t>
      </w:r>
    </w:p>
    <w:p>
      <w:r>
        <w:t>- 8 - - 15 décembre 2016 : Ministère public du canton de Fribourg, faux dans les titres et escroquerie, peine pécuniaire de 120 jours-amende à 50 fr., et amende de 500 francs. En outre, l’extrait de son casier judiciaire français fait état de la condamnation suivante : - 23 janvier 2012 : Tribunal correctionnel de Thonon-les-Bains, conducteurs se trouvant dans l’incapacité de conduire (véhicule autom., taux alcoolémique qualifié), amende de 600 euros. Dans le cadre de la présente procédure, P.________ a été détenu provisoirement du 19 au 22 juin 2016, soit pendant 4 jours.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Le 3 novembre 2013 vers 23h20, à Chavannes-de-Bogis, au poste douanier, P.________ a circulé au volant de son véhicule Mercedes- Benz Classe C 200, alors qu’il se trouvait sous l’influence de l’alcool. L’analyse du sang prélevé à 00h55 a révélé un taux d'alcoolémie d’au moins 1.05 g ‰ au moment critique.</w:t>
      </w:r>
    </w:p>
    <w:p>
      <w:r>
        <w:rPr>
          <w:b/>
        </w:rPr>
        <w:t>E. 2.2</w:t>
      </w:r>
    </w:p>
    <w:p>
      <w:r>
        <w:t>Le 10 novembre 2013, à Signy-Avenex, Route cantonale Nyon - La Cure, P.________ a circulé au volant de son véhicule Mercedes-Benz Classe C 200, alors qu’il faisait l'objet d'un retrait du permis de conduire depuis le 3 novembre 2013. En d roit : 1. Interjeté dans les formes et délais légaux (art. 399 CPP) par une partie ayant la qualité pour recourir contre le jugement d’un tribunal de première instance ayant clos la procédure (art. 398 al. 1 CPP), l’appel de P.________ est recevable.</w:t>
      </w:r>
    </w:p>
    <w:p>
      <w:r>
        <w:t>- 9 -</w:t>
      </w:r>
    </w:p>
    <w:p>
      <w:r>
        <w:rPr>
          <w:b/>
        </w:rPr>
        <w:t>E. 3.1</w:t>
      </w:r>
    </w:p>
    <w:p>
      <w:r>
        <w:t>L’appelant ne conteste pas les faits qui lui sont reprochés. Il conteste uniquement le genre de peine qui lui a été infligé. Il invoque une violation de l’art. 41 CP et reproche au premier juge de ne pas avoir examiné si une peine pécuniaire pouvait être exécutée.</w:t>
      </w:r>
    </w:p>
    <w:p>
      <w:r>
        <w:rPr>
          <w:b/>
        </w:rPr>
        <w:t>E. 3.2</w:t>
      </w:r>
    </w:p>
    <w:p>
      <w:r>
        <w:t>Aux termes de l'art. 41 al. 1 CP, le juge peut prononcer une peine privative de liberté ferme de moins de six mois uniquement si les conditions du sursis à l'exécution de la peine (art. 42 CP) ne sont pas</w:t>
      </w:r>
    </w:p>
    <w:p>
      <w:r>
        <w:t>- 10 -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6B_1000/2014 du 14 octobre 2015 consid. 6.1 ; TF 6B_709/2013 du 27 janvier 2014 consid. 2). Le juge doit motiver le choix de la courte peine privative de liberté ferme de manière circonstanciée (art. 41 al. 2 CP).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(ATF 134 IV 60 consid. 8.4 ; TF 6B_714/2015 du 28 septembre 2015 consid. 1.1). Lorsque des motifs de prévention spéciale permettent de considérer qu'une peine pécuniaire ou une nouvelle peine de travail d'intérêt général seraient d'emblée inadaptées (TF 6B_196/2012 du 24 janvier 2013 consid. 3.3 et TF 6B_128/2011 du 14 juin 2011), l'autorité peut prononcer une peine privative de liberté de courte durée.</w:t>
      </w:r>
    </w:p>
    <w:p>
      <w:r>
        <w:t>- 11 -</w:t>
      </w:r>
    </w:p>
    <w:p>
      <w:r>
        <w:rPr>
          <w:b/>
        </w:rPr>
        <w:t>E. 3.3</w:t>
      </w:r>
    </w:p>
    <w:p>
      <w:r>
        <w:t>En l'espèce, le recourant a conduit alcoolisé le 3 novembre 2013 puis a repris le volant malgré le retrait de son permis de conduire le 10 novembre 2013. Il a déjà été condamné à quatre reprises entre 2009 et 2012 pour le même type d’infractions. Comme l’a relevé le premier juge, le recourant ne prend manifestement pas au sérieux les condamnations à des peines pécuniaires dont il a fait l'objet puisqu’elles ne l’ont pas dissuadé de récidiver et seule une peine privative de liberté entre par conséquent en considération pour des motifs de prévention spéciale. Même si les faits remontent au mois de novembre 2013, soit il y a plus de trois années, on constate un intervalle de deux ans entre ses condamnations d'août 2009 et d'août 2011, si bien qu'on ne saurait conclure à un amendement prolongé, étant relevé encore qu'il a subi une nouvelle condamnation en 2016 pour des infractions contre le patrimoine, ce qui tend à démontrer le total mépris de la loi pénale par le recourant. Partant, le Tribunal de police n’a aucunement violé l’art. 41 CP en prononçant une courte peine privative de liberté. La peine privative de liberté de 60 jours prononcée par le premier juge, adéquate, doit dès lors être confirmée.</w:t>
      </w:r>
    </w:p>
    <w:p>
      <w:r>
        <w:rPr>
          <w:b/>
        </w:rPr>
        <w:t>E. 4</w:t>
      </w:r>
    </w:p>
    <w:p>
      <w:r>
        <w:t>En définitive, l’appel de P.________ doit être rejeté et le jugement de première instance intégralement confirmé. Vu l'issue de la cause, les frais de la procédure d'appel, constitués en l’espèce de l'émolument du présent arrêt, par 1’170 fr. (art. 21 al. 1 et 2 TFIP [Tarif des frais de procédure et indemnités en matière pénale du 28 septembre 2010 ; RSV 312.03.1]) et de l’indemnité allouée au défenseur d’office de P.________, seront mis à la charge de ce dernier, qui succombe (art. 428 al. 1 CPP). Me Corinne Arpin a produit lors de l’audience une liste d’opérations, dont il n’y a pas lieu de s’écarter, hormis de la durée de l’audience d’appel qui sera réduite à 10 minutes au lieu d’une heure annoncée. L’indemnité due au défenseur d’office du prévenu pour la procédure d’appel sera ainsi arrêtée à 745 fr. 20, correspondant à</w:t>
      </w:r>
    </w:p>
    <w:p>
      <w:r>
        <w:t>- 12 - 3 heures et 10 minutes d’activité à 180 fr. et une vacation à 120 fr., plus la TVA. P.________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