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PE13.018477 vom 4. Dezember 2014</w:t>
      </w:r>
    </w:p>
    <w:p>
      <w:r>
        <w:t>VD Tribunal cantonal, 2014-12-04, FR</w:t>
      </w:r>
    </w:p>
    <w:p>
      <w:r>
        <w:rPr>
          <w:b/>
        </w:rPr>
        <w:t xml:space="preserve">Quelle: </w:t>
      </w:r>
      <w:r>
        <w:t>https://mcp.opencaselaw.ch/entscheid/vd_gerichte_PE13.018477</w:t>
      </w:r>
    </w:p>
    <w:p>
      <w:r>
        <w:t>FR: VD_GERICHTE PE13.018477 du 4 décembre 2014</w:t>
      </w:r>
    </w:p>
    <w:p>
      <w:r>
        <w:t>IT: VD_GERICHTE PE13.018477 del 4 dicembre 2014</w:t>
      </w:r>
    </w:p>
    <w:p>
      <w:pPr>
        <w:pStyle w:val="Heading2"/>
      </w:pPr>
      <w:r>
        <w:t>Erwägungen</w:t>
      </w:r>
    </w:p>
    <w:p>
      <w:r>
        <w:rPr>
          <w:b/>
        </w:rPr>
        <w:t>E. 4</w:t>
      </w:r>
    </w:p>
    <w:p>
      <w:r>
        <w:t>Le Ministère public considère que c’est à tort que les premiers juges ont qualifié les faits retenus au cas 2.7 ci-dessus d’actes préparatoires à un vol. Selon la procureure, c’est uniquement parce que le prévenu et ses comparses auraient vu que ce qu’ils recherchaient ne se trouvait plus dans le commerce, qu’ils auraient renoncé à poursuivre leur activité délictueuse. Il s’agirait donc d’une tentative de vol en bande.</w:t>
      </w:r>
    </w:p>
    <w:p>
      <w:r>
        <w:rPr>
          <w:b/>
        </w:rPr>
        <w:t>E. 4.1</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 1.4.2 ; 131 IV 100 c. 7.2.1). La délimitation entre les actes préparatoires, en principe non punissables (sous réserve de l'art. 260 bis CP), et le commencement d'exécution, constitutif d'une tentative inachevée punissable peut s'avérer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w:t>
      </w:r>
    </w:p>
    <w:p>
      <w:r>
        <w:t>- 16 - l'entreprise (ATF 131 IV 100 c. 7.2.1). La distinction entre les actes préparatoires et ceux constitutifs d'un début d'exécution de l'infraction doit être opérée au moyen de critères avant tout objectifs.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(TF 6B_101/2014 ; ATF 131 IV 100 c. 7.2.1 ; ATF 117 IV 395 c. 3).</w:t>
      </w:r>
    </w:p>
    <w:p>
      <w:r>
        <w:rPr>
          <w:b/>
        </w:rPr>
        <w:t>E. 4.2</w:t>
      </w:r>
    </w:p>
    <w:p>
      <w:r>
        <w:t>En l’espèce, c’est bien un élément extérieur qui a motivé le prévenu et ses comparses à renoncer au vol du magasin de motos U.________ SA : il n’y avait rien à voler. Il paraît difficile d’admettre que des personnes cagoulées et munies du matériel nécessaire à la commission d’un cambriolage n’ont pas franchi la démarche ultime et décisive vers l’accomplissement de l’infraction lorsqu’on les voit se diriger vaillamment vers l’objet convoité. On aurait peut-être pu admettre que soudainement ces personnes ont pris peur, cependant tel n’a pas été le cas. En effet, le prévenu n’avait pas peur étant donné qu’il avait déjà commis une infraction de ce genre. C’est l’absence de butin qui leur a fait renoncer, soit bel et bien une circonstance extérieure. Il s’agissait donc bien d’une tentative de vol en bande et non d’actes préparatoires. L’appel doit ainsi être admis sur ce point.</w:t>
      </w:r>
    </w:p>
    <w:p>
      <w:r>
        <w:rPr>
          <w:b/>
        </w:rPr>
        <w:t>E. 5</w:t>
      </w:r>
    </w:p>
    <w:p>
      <w:r>
        <w:t>La peine n’est pas contestée. Cependant, le Ministère public s’oppose à l’octroi du sursis, les conditions de l’art. 42 al. 1 CP n’étant pas réalisées. Selon la procureure, la peine privative de liberté de 20 mois et la peine pécuniaire de 40 jours-amende à 20 fr. devraient être assorties du sursis partiel, la partie suspendue des peines devant être de 14 mois respectivement de 20 jours-amende et la durée du délai d’épreuve de 4 ans.</w:t>
      </w:r>
    </w:p>
    <w:p>
      <w:r>
        <w:rPr>
          <w:b/>
        </w:rPr>
        <w:t>E. 5.1</w:t>
      </w:r>
    </w:p>
    <w:p>
      <w:r>
        <w:t>Selon l'art. 42 CP, le juge suspend en règle générale l’exécution d’une peine pécuniaire, d’un travail d’intérêt général ou d’une peine privative de liberté de six mois au moins et de deux ans au plus</w:t>
      </w:r>
    </w:p>
    <w:p>
      <w:r>
        <w:t>- 17 -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dispose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 cf. aussi TF 6B_664/2007 du 18 janvier 2008 c. 3.2.1 ;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5.2</w:t>
      </w:r>
    </w:p>
    <w:p>
      <w:r>
        <w:t>En l’espèce, la culpabilité de Z.________ est lourde. Il s’est rendu coupable de nombreuses infractions qui sont en concours. En outre, il a récidivé en cours d’enquête et ses aveux n’ont finalement été que partiels. Cependant, à l’audience d’appel, la Cour de céans a constaté que l’intéressé avait largement admis l’incrimination pénale, qu’il avait été très</w:t>
      </w:r>
    </w:p>
    <w:p>
      <w:r>
        <w:t>- 18 - affecté par son accident survenu au début 2014 mais qu’il s’était physiquement bien rétabli et qu’il avait retrouvé un emploi lui permettant désormais de pourvoir personnellement à son entretien et verser une contribution à ses parents. Il a également dit être à la recherche d’un logement pour s’y installer avec son amie. Il a ainsi démontré vouloir réellement se prendre en mains et se réinsérer. Le pronostic à poser quant au comportement futur du prévenu n’est donc pas défavorable de sorte qu’il peut être mis au bénéfice du sursis. L’appel doit être rejeté sur ce point.</w:t>
      </w:r>
    </w:p>
    <w:p>
      <w:r>
        <w:rPr>
          <w:b/>
        </w:rPr>
        <w:t>E. 6</w:t>
      </w:r>
    </w:p>
    <w:p>
      <w:r>
        <w:t>En définitive, l’appel du Ministère public doit être partiellement admis et le jugement entrepris réformé dans le sens des considérants qui précèdent.</w:t>
      </w:r>
    </w:p>
    <w:p>
      <w:r>
        <w:rPr>
          <w:b/>
        </w:rPr>
        <w:t>E. 6.1</w:t>
      </w:r>
    </w:p>
    <w:p>
      <w:r>
        <w:t>Me Juliette Perrin, avocate en l’Etude Me Christian Favre, a produit une liste des opérations faisant notamment état de 3h40 d’activité par Me Favre, 5h10 d’activité par Me Perrin et 22 fr. 80 de débours (P. 70). Compte tenu de la connaissance du dossier acquise en première instance et des opérations nécessaires à la défense des intérêts de son client, le temps consacré à la présente procédure est trop élevé. Tout bien considéré, c’est une indemnité de 961 fr. 20 correspondant à 4 heures d’activité à 180 fr., une vacation à 120 fr. et 50 fr. de débours, plus la TVA, qui doit être allouée à Me Christian Favre défenseur d’office de Z.________ pour la procédure d’appel.</w:t>
      </w:r>
    </w:p>
    <w:p>
      <w:r>
        <w:rPr>
          <w:b/>
        </w:rPr>
        <w:t>E. 6.2</w:t>
      </w:r>
    </w:p>
    <w:p>
      <w:r>
        <w:t>Vu l’issue de la cause, les frais de la présente procédure, constitués de l’émolument de jugement, par 1’830 fr., et de l’indemnité allouée au défenseur d’office de Z.________, par 961 fr. 20, seront laissés à la charge de l’Etat.</w:t>
      </w:r>
    </w:p>
    <w:p>
      <w:r>
        <w:rPr>
          <w:b/>
        </w:rPr>
        <w:t>E. 7</w:t>
      </w:r>
    </w:p>
    <w:p>
      <w:r>
        <w:t>Enfin, le dispositif communiqué après l’audience d’appel ne prononçant pas que le présent jugement est exécutoire, il sera ainsi rectifié d’office dans ce sens.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