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PE13.017909 vom 7. Juli 2014</w:t>
      </w:r>
    </w:p>
    <w:p>
      <w:r>
        <w:t>VD Tribunal cantonal, 2014-07-07, FR</w:t>
      </w:r>
    </w:p>
    <w:p>
      <w:r>
        <w:rPr>
          <w:b/>
        </w:rPr>
        <w:t xml:space="preserve">Quelle: </w:t>
      </w:r>
      <w:r>
        <w:t>https://mcp.opencaselaw.ch/entscheid/vd_gerichte_PE13.017909</w:t>
      </w:r>
    </w:p>
    <w:p>
      <w:r>
        <w:t>FR: VD_GERICHTE PE13.017909 du 7 juillet 2014</w:t>
      </w:r>
    </w:p>
    <w:p>
      <w:r>
        <w:t>IT: VD_GERICHTE PE13.017909 del 7 luglio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w:t>
      </w:r>
    </w:p>
    <w:p>
      <w:r>
        <w:t>- 4 -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134 IV 186 c. 2; Schmocker, in Kuhn/Jeanneret (éd.), Commentaire romand, Code de procédure pénale suisse, Bâle 2011, nn. 7 ss ad art. 221 CPP, pp. 1024 ss). En l’espèce, le recourant ne conteste à juste titre pas l’existence de présomptions suffisantes de culpabilité à son encontre.</w:t>
      </w:r>
    </w:p>
    <w:p>
      <w:r>
        <w:rPr>
          <w:b/>
        </w:rPr>
        <w:t>E. 3</w:t>
      </w:r>
    </w:p>
    <w:p>
      <w:r>
        <w:t>a) Le recourant conteste d’abord le risque de collusion (art. 221 al. 1 let. b CPP). b) Ce risque existe notamment lorsqu’il est à craindre que l’intéressé ne mette sa liberté à profit pour faire disparaître ou altérer les preuves, ou qu’il prenne contact avec des témoins ou d’autres prévenus pour tenter d’influencer leurs déclarations (TF 1B_55/2010 du 11 mars 2010 c. 3.1). Le risque de collusion doit être étayé par des faits concrets et précis; la simple possibilité théorique que le prévenu se livre à des manoeuvres destinées à compromettre la recherche de la vérité ne suffit pas (ATF 132 I 21 c. 3.2; Schmocker, op. cit., n. 16 ad art. 221 CPP). c) En l’espèce, des mesures d’instruction visant en particulier à interpeller et à auditionner les comparses zurichois du recourant, désormais identifiés, qui se chargeaient de la récolte de marijuana produite dans le hangar situé à Glovelier, sont en cours. Le résultat des investigations précitées pourrait être compromis si le recourant venait à être remis en liberté. En effet, dans la mesure où le recourant minimise</w:t>
      </w:r>
    </w:p>
    <w:p>
      <w:r>
        <w:t>- 5 - toujours son implication dans le trafic de marijuana et attribue à ses comparses zurichois un rôle prépondérant, il est fort à craindre qu’en cas de libération, il se concerte avec ceux-ci, en vue d’influencer leurs déclarations et de faire obstacle à la manifestation de la vérité. C'est donc à juste titre que le Tribunal des mesures de contrainte a retenu le risque de collusion. En outre, aucune mesure de substitution ne saurait éliminer ce risque.</w:t>
      </w:r>
    </w:p>
    <w:p>
      <w:r>
        <w:rPr>
          <w:b/>
        </w:rPr>
        <w:t>E. 4</w:t>
      </w:r>
    </w:p>
    <w:p>
      <w:r>
        <w:t>a) Le recourant conteste ensuite le risque de récidive (art. 221 al. 1 let. c CPP).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il n’y a aucun élément nouveau permettant de mettre en doute l'appréciation faite précédemment sur ce point, de sorte que la cour de céans se réfère à son arrêt rendu le 24 décembre 2013 pour admettre l’existence du risque de récidive, en rappelant qu’au vu de la très grande quantité de marijuana en cause, il s’agit d’un cas où la</w:t>
      </w:r>
    </w:p>
    <w:p>
      <w:r>
        <w:t>- 6 - sécurité et la santé publiques priment clairement sur la liberté personnelle de V.________. Le risque de récidive (art. 221 al. 1 let. c CPP) est donc concret et justifie également le placement du recourant en détention provisoire. En outre, aucune mesure de substitution n’est susceptible de pallier ce risque.</w:t>
      </w:r>
    </w:p>
    <w:p>
      <w:r>
        <w:rPr>
          <w:b/>
        </w:rPr>
        <w:t>E. 5</w:t>
      </w:r>
    </w:p>
    <w:p>
      <w:r>
        <w:t>a) Le recourant invoque également une violation du principe de célérité. En substance, il fait valoir que les neuf mois mis à disposition des autorités compétentes pour entreprendre des démarches à l’encontre des comparses zurichois et préserver tout risque de collusion seraient amplement suffisants. b)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(TF 1B_150/2012 du 30 mars 2012 c. 3 et les arrêts cités). Il doit toutefois s'agir d'un manquement particulièrement grave, faisant au surplus apparaître que l'autorité de poursuite n'est plus en mesure de conduire la procédure à chef dans un délai raisonnable (ibid.).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(ibid.). c) En l’espèce, il convient d’abord de relever que l’affaire est complexe, au vu du nombre de personnes impliquées et des opérations à entreprendre dans plusieurs cantons. Il apparaît ensuite que le Ministère public est dans l'attente des résultats de l’interpellation et de l’audition des comparses zurichois. Cette mesure d’instruction devrait notamment</w:t>
      </w:r>
    </w:p>
    <w:p>
      <w:r>
        <w:t>- 7 - lui permettre d’établir plus précisément l’ampleur de l’activité délictueuse du recourant et d’établir les liens entre ce dernier et les autres protagonistes. L’instruction se poursuit donc et en l’état, on ne saurait considérer qu’il y a un retard injustifié dans l’avancement de la procédure. Partant, le moyen invoqué par le recourant doit être rejeté.</w:t>
      </w:r>
    </w:p>
    <w:p>
      <w:r>
        <w:rPr>
          <w:b/>
        </w:rPr>
        <w:t>E. 6</w:t>
      </w:r>
    </w:p>
    <w:p>
      <w:r>
        <w:t>a) Enfin,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V.________ est détenu depuis le 19 septembre 2013, soit depuis près de 10 mois. Compte tenu de la gravité des infractions qui lui sont reprochées, en particulier de sa participation à un trafic de drogue d’envergure, et de ses antécédents, le recourant s'expose à une peine d’une durée manifestement supérieure à celle de la détention provisoire subie à ce jour. Le principe de la proportionnalité demeure donc respecté.</w:t>
      </w:r>
    </w:p>
    <w:p>
      <w:r>
        <w:rPr>
          <w:b/>
        </w:rPr>
        <w:t>E. 7</w:t>
      </w:r>
    </w:p>
    <w:p>
      <w:r>
        <w:t>Il résulte de ce qui précède que le recours, manifestement mal fondé, doit être rejeté sans autres échanges d’écritures. Les frais de la procédure de recours, constitués en l’espèce du seul émolument d'arrêt, par 770 fr. (art. 20 al. 1 TFJP [tarif des frais judiciaires pénaux; RSV 312.03.1]), seront mis à la charge du recourant, qui succombe (art. 428 al. 1 CPP).</w:t>
      </w:r>
    </w:p>
    <w:p>
      <w:r>
        <w:t>- 8 - Par ces motifs, la Chambre des recours pénale, statuant à huis clos, prononce : I. Le recours est rejeté. II. L’ordonnance du 20 juin 2014 est confirmée. III. Les frais d’arrêt, par 770 fr. (sept cent septante francs), sont mis à la charge de V.________. IV. Le présent arrêt est exécutoire. Le président : La greffière : Du L'arrêt qui précède, dont la rédaction a été approuvée à huis clos, est notifié, par l'envoi d'une copie complète, à : - M. V.________, - Ministère public central; et communiqué à : - M. le Président du Tribunal des mesures de contraintes,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- 9 -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