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PE13.017627 vom 17. März 2022</w:t>
      </w:r>
    </w:p>
    <w:p>
      <w:r>
        <w:t>VD Tribunal cantonal, 2022-03-17, FR</w:t>
      </w:r>
    </w:p>
    <w:p>
      <w:r>
        <w:rPr>
          <w:b/>
        </w:rPr>
        <w:t xml:space="preserve">Quelle: </w:t>
      </w:r>
      <w:r>
        <w:t>https://mcp.opencaselaw.ch/entscheid/vd_gerichte_PE13.017627</w:t>
      </w:r>
    </w:p>
    <w:p>
      <w:r>
        <w:t>FR: VD_GERICHTE PE13.017627 du 17 mars 2022</w:t>
      </w:r>
    </w:p>
    <w:p>
      <w:r>
        <w:t>IT: VD_GERICHTE PE13.017627 del 17 marzo 2022</w:t>
      </w:r>
    </w:p>
    <w:p>
      <w:pPr>
        <w:pStyle w:val="Heading2"/>
      </w:pPr>
      <w:r>
        <w:t>Erwägungen</w:t>
      </w:r>
    </w:p>
    <w:p>
      <w:r>
        <w:rPr>
          <w:b/>
        </w:rPr>
        <w:t>E. 1</w:t>
      </w:r>
    </w:p>
    <w:p>
      <w:r>
        <w:t>Interjeté en temps utile (art. 396 al. 1 CPP [Code de procédure pénale suisse du 5 octobre 2007 ; RS 312.0]) contre une décision du Tribunal des mesures de contrainte dans un cas prévu par la loi (art. 393 al. 1 let. c CPP) par un détenu qui a qualité pour recourir (art. 222 et 382 al. 1 CPP) et selon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2.2</w:t>
      </w:r>
    </w:p>
    <w:p>
      <w:r>
        <w:t>; ATF 143 IV 9 consid. 2.7 ; TF 1B_43/2020 précité consid. 2.1 ; TF 1B_11/2020 du 23 janvier 2020 consid. 3.1 ; TF 1B_595/2019 précité consid. 4 ; TF 1B_470/2019 du 16 octobre 2019 consid. 2.2 ; TF 1B_247/2016 du 27 juillet 2016 consid. 2.2). Selon la jurisprudence actuelle, il n'y a en principe mise en danger de la sécurité d'autrui que lors de l'emploi de la force, comme par exemple en cas de brigandage (ATF 146 IV 136 consid. 2.2 ; ATF 143 IV 9 consid. 2.7). Il n'existe une telle mise en danger sans emploi de la force que dans des cas très exceptionnels, particulièrement et objectivement graves (ATF 146 IV 136 consid. 2.2 ; TF 1B_595/2019 précité consid. 4.1 ; TF 1B_32/2017 du 4 mai 2017, publié in : Pra 2017 n. 54 pp. 534 ss., consid. 3.3.5). Pour admettre une sérieuse mise en danger de la sécurité d’autrui, il faut que les infractions contre le patrimoine aient frappé les victimes d’une manière particulièrement dure, c’est-à-dire que l’atteinte soit similaire à celle portée à la victime d’un acte de violence (ATF 146 IV 136 consid. 2.2 et 2.5). Lorsque les infractions au patrimoine ont été commises au préjudice de victimes qui ne peuvent pas avoir connu de difficultés insurmontables en raison de la soustraction opérée (ainsi, par exemple, d’établissements bancaires, de leasing, de grandes entreprises ou d’organismes étatiques), elles ne revêtent en principe pas la gravité nécessaire. A titre d’exemple, une escroquerie à l'aide sociale portant sur 300'000 fr. commise pendant cinq ans ne constitue pas un cas</w:t>
      </w:r>
    </w:p>
    <w:p>
      <w:r>
        <w:t>- 10 - exceptionnel (TF 1B_247/2016 précité consid. 2.2). Dans certaines hypothèses, un délit contre le patrimoine peut frapper une victime aussi durement qu'un acte de violence; ainsi, lorsqu'un auteur dépouille quelqu'un déjà avancé en âge de tout le fruit du travail d'une vie (ATF 146 IV 136 consid. 2.3 et 2.4 et les références citées). D’après le Tribunal fédéral, le point de savoir si, en cas d’infraction particulièrement grave contre le patrimoine, les victimes sont atteintes particulièrement durement, au point quelle puissent être assimilées aux victimes d’actes violents, ne peut être résolu de manière abstraite; cet examen relève toujours des circonstances concrètes du cas (ATF 146 IV 136 consid. 2.5). Les indices suivants peuvent être utilisés pour déterminer la gravité de la mise en danger de la sécurité d’autrui : l’usage d'une arme, y compris par le passé, le montant du préjudice (si celui-ci est élevé, il serait à craindre que le prévenu puisse commettre plus fréquemment des délits graves), les circonstances personnelles du cas, notamment la situation financière des victimes (si celles-ci vivaient dans une situation précaire, le montant du préjudice n'aura pas besoin d'être particulièrement élevé), ainsi que la situation financière et personnelle de l'auteur (par exemple s’il a de gros besoins financiers, notamment en raison d’un train de vie luxueux; ATF 146 IV 136 consid. 2.5).</w:t>
      </w:r>
    </w:p>
    <w:p>
      <w:r>
        <w:rPr>
          <w:b/>
        </w:rPr>
        <w:t>E. 3</w:t>
      </w:r>
    </w:p>
    <w:p>
      <w:r>
        <w:t>Le recourant, qui ne remet pas en cause l’existence de forts soupçons de culpabilité, conteste les risques de collusion et de réitération retenus par le premier juge.</w:t>
      </w:r>
    </w:p>
    <w:p>
      <w:r>
        <w:rPr>
          <w:b/>
        </w:rPr>
        <w:t>E. 3.1.1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w:t>
      </w:r>
    </w:p>
    <w:p>
      <w:r>
        <w:t>- 7 - Le placement en détention provisoire peut ainsi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Entrent aussi en considération la nature et l’importance des déclarations, respectivement des moyens de preuves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précité consid. 4.2 ; ATF 132 I 21 consid. 3.2 et les références citées ; TF 1B_358/2021 du 16 juillet 2021 consid. 4.2 ; TF 1B_577/2020 du 2 décembre 2020 consid. 3.1)</w:t>
      </w:r>
    </w:p>
    <w:p>
      <w:r>
        <w:t>- 8 -</w:t>
      </w:r>
    </w:p>
    <w:p>
      <w:r>
        <w:rPr>
          <w:b/>
        </w:rPr>
        <w:t>E. 3.1.2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références).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TF 1B_182/2020 du 4 mai 2020 consid. 5.1).</w:t>
      </w:r>
    </w:p>
    <w:p>
      <w:r>
        <w:t>- 9 - S’agissant plus spécifiquement des infractions contre le patrimoine, la jurisprudence récente du Tribunal fédéral délimite strictement les conditions pour détenir provisoirement un prévenu en raison de l’existence d’un risque de réitération (ATF 146 IV 136 consid. 2.2 et 2.3, JdT 2020 IV 264 ; TF 1B_595/2019 du 10 janvier 2020, publié in RSJ 7/2020 pp. 248-249 ; TF 1B_43/2020 du 14 février 2020 consid. 2 ; TF 1B _112/2020 du 20 mars 2020 consid. 3). Ainsi, si les infractions contre le patrimoine perturbent la vie en société en portant atteinte à la propriété, elles ne mettent cependant pas systématiquement en danger l'intégrité physique ou psychique des victimes. En présence de telles infractions, une détention n'est justifiée à raison du risque de récidive que lorsque l'on est en présence d'infractions particulièrement graves (ATF 146 IV 136 consid.</w:t>
      </w:r>
    </w:p>
    <w:p>
      <w:r>
        <w:rPr>
          <w:b/>
        </w:rPr>
        <w:t>E. 3.2.1</w:t>
      </w:r>
    </w:p>
    <w:p>
      <w:r>
        <w:t>En l'espèce, pour retenir un risque de collusion, le premier juge a indiqué que les opérations d’enquête – dont notamment l’analyse du matériel informatique appartenant à A.________ – étaient toujours en cours en vue d’établir les faits commis dans le canton de Genève par le prévenu, avant qu’un rapport soit déposé par la police en ce sens, qu’à cet égard, il n’était pas exclu que des nouvelles audiences de confrontation soient fixées à l’avenir, en fonction des éléments qui seraient découverts par le biais de l’extraction et de l’analyse du matériel informatique saisi, afin de clarifier les faits reprochés au prévenu, et qu’il était essentiel que celui-ci puisse y être confronté sans pouvoir préalablement convenir d’une version qui lui soit favorable, ce d’autant que le prénommé avait livré des déclarations peu cohérentes et contradictoires avec celles des plaignants ainsi qu’avec les éléments déjà recueillis durant l’enquête. Le magistrat a</w:t>
      </w:r>
    </w:p>
    <w:p>
      <w:r>
        <w:t>- 11 - ajouté que le dossier genevois relatif à la plainte pénale déposée le 20 décembre 2021 par [...] avait été transmis au Ministère public le 31 décembre 2021 et qu’il nécessiterait vraisemblablement des mesures d’investigations supplémentaires, soit notamment des auditions, de sorte qu’il convenait à tout prix d’éviter que, libéré, l’intéressé n’interfère dans l’instruction en cours, en particulier en prenant contact avec les personnes qui pourraient le mettre en cause, et plus particulièrement avec [...] ou les autres plaignants, ce qui compromettrait alors irrémédiablement la recherche de la vérité. Avec le recourant, il faut admettre que dans la mesure où le matériel informatique est déjà en mains de la justice, le prévenu ne peut vraisemblablement plus détruire d’éventuelles données utiles à l’enquête, comme le tribunal l’a d’ailleurs lui-même indiqué (ordonnance, p. 4). Ensuite, la motivation du premier juge, qui relève qu’il n’est pas exclu que des nouvelles audiences de confrontation soient fixées à l’avenir, est trop vague pour qu’un risque de collusion concret puisse, en l’état, être constaté. S’agissant plus particulièrement des faits nouveaux qui font l’objet de la plainte du 20 décembre 2021, force est de constater que le prévenu a renoncé à son audition en lien avec cette dernière plainte (PV des opérations, à la date du 9 mars 2022). A cet égard, on ne saurait non plus retenir le risque qu’il puisse – concrètement – interférer dans l’instruction en cours en cherchant à entrer en contact avec le plaignant [...], dans la mesure où ni la procureure ni le premier juge n’allègue – ni a fortiori démontre – que le recourant aurait par le passé fait pression de quelque manière que ce soit sur l’une ou l’autre des personnes l’ayant mis en cause. D’ailleurs, si un tel risque existait, il se serait déjà réalisé entre mars 2017 et la mise en détention provisoire du prévenu en avril 2021, laps de temps durant lequel celui-ci était libre. Or aucun reproche ne lui a été fait dans ce sens. En outre, le premier juge a justifié à tort le maintien en détention du recourant par le fait que le risque de collusion pourrait demeurer présent jusqu’au procès, moment auquel l’autorité de jugement fonde son intime conviction, se référant à la jurisprudence du Tribunal fédéral 1B_107/2020 du 24 mars 2020. En effet, cet arrêt concerne le risque de collusion entre prévenus d’une bande tous impliqués à des</w:t>
      </w:r>
    </w:p>
    <w:p>
      <w:r>
        <w:t>- 12 - degrés divers, ce qui diffère du cas d’espèce. Pour le reste, compte tenu du stade avancé de l’instruction, qui dure depuis 8 ans, on ne discerne pas en quoi le recourant pourrait d’une manière ou d’une autre compromettre irrémédiablement la recherche de la vérité, comme le soutient abstraitement le tribunal. Force est ainsi de constater que le risque concret de collusion n’est plus réalisé à ce stade.</w:t>
      </w:r>
    </w:p>
    <w:p>
      <w:r>
        <w:rPr>
          <w:b/>
        </w:rPr>
        <w:t>E. 3.2.2</w:t>
      </w:r>
    </w:p>
    <w:p>
      <w:r>
        <w:t>Concernant le risque de récidive, s’il est vrai que le recourant est mis en cause pour avoir poursuivi ses actes délictueux malgré une première période de détention provisoire et qu’il a, par le passé, déjà été condamné pour abus de confiance, la gravité objective des infractions qui lui sont reprochées dans le cadre de la présente procédure est toutefois relative. Tout d’abord, ni les infractions en cause ni les antécédents du prévenu ne font état de violence physique envers des tiers (seule une condamnation pour menaces et injure en 2012 peut être relevée). En outre, les infractions reprochées au recourant n’auraient pas été commises au préjudice de victimes qui auraient connu des difficultés insurmontables en raison des faits litigieux, dès lors que l’intéressé est mis en cause pour avoir vendu des véhicules qui lui auraient été remis en location soit par des privés soit par des sociétés de location/vente, s’enrichissant ainsi du prix de vente. Certes, le nombre d’infractions reprochées au prévenu est important et certaines sont plus graves que d’autres, comme le cas concernant sa voisine de l’époque, [...], qui lui aurait notamment remis plus de 20'000 fr. pour la prétendue création d’une société dans laquelle il lui aurait fait croire qu’elle pourrait travailler, alors qu’il connaissait la situation personnelle et financière difficile de la prénommée, avec laquelle il aurait même entretenu une relation intime à l’époque des faits. Cependant, on ne se trouve pas en présence d’infractions particulièrement graves contre le patrimoine au sens de la jurisprudence précitée (cf. consid. 3.1.2 supra). D’ailleurs, on relèvera que dans son ordonnance du 12 mai 2021, le Tribunal des mesures de contrainte du canton de Genève a indiqué expressément qu’il n’existait aucun risque de réitération au sens de l’art. 221 al. 1 let. c CPP, alors qu’il</w:t>
      </w:r>
    </w:p>
    <w:p>
      <w:r>
        <w:t>- 13 - était parfaitement au courant de l’instruction menée par les autorités vaudoises. Quant à la plainte du 20 décembre 2021 à laquelle se réfère expressément le tribunal, elle porte sur un montant de 6'720 fr., ce qui ne constitue pas non plus une atteinte particulièrement dure, toujours au sens de la jurisprudence précitée (cf. consid. 3.1.2 supra). Partant, force est de constater que les comportements répréhensibles du prévenu sont typiquement constitutifs d’infractions contre le patrimoine perturbant la vie en société et portant atteinte à la propriété, mais ne constituent précisément pas un danger pour l'intégrité physique ou psychique des victimes. Or, en présence de telles infractions, une détention provisoire n'est justifiée à raison du risque de récidive que lorsque l'on se trouve en présence d'infractions particulièrement graves, ce qui n’est pas le cas en l’espèce. En conséquence, la prolongation de la détention provisoire d’A.________ en raison du risque de récidive manifeste qu’il présente ne se justifie pas au regard de la jurisprudence stricte du Tribunal fédéral en la matière.</w:t>
      </w:r>
    </w:p>
    <w:p>
      <w:r>
        <w:rPr>
          <w:b/>
        </w:rPr>
        <w:t>E. 3.3</w:t>
      </w:r>
    </w:p>
    <w:p>
      <w:r>
        <w:t>Les conditions de la détention provisoire ne sont ainsi plus réalisées, de sorte qu’A.________ doit être libéré. L'attention d’A.________ est toutefois expressément attirée sur le fait, s’agissant du risque de collusion examiné ci-avant (cf. consid. 3.2.1 supra), que s’il devait tenter d’influencer l’une ou l’autre des personnes impliquées dans les faits qui lui sont reprochés, plus particulièrement celles le mettant en cause, ou chercher à faire pression sur elles ou à interférer d’une quelconque autre manière dans l’instruction en cours, il serait susceptible d’être immédiatement remis en détention provisoire.</w:t>
      </w:r>
    </w:p>
    <w:p>
      <w:r>
        <w:rPr>
          <w:b/>
        </w:rPr>
        <w:t>E. 4</w:t>
      </w:r>
    </w:p>
    <w:p>
      <w:r>
        <w:t>Il s’ensuit que le recours doit être admis et l’ordonnance querellée réformée en ce sens que la demande de prolongation de la détention provisoire est rejetée, que le recourant est immédiatement</w:t>
      </w:r>
    </w:p>
    <w:p>
      <w:r>
        <w:t>- 14 - libéré pour autant qu’il ne soit pas détenu pour une autre cause et que les frais de l’ordonnance, par 525 fr., sont laissés à la charge de l’Etat. Le défenseur d’office d’A.________ a produit une liste des opérations faisant état d’un temps total consacré à la procédure de recours de 4 heures et 50 minutes (P. 524/4). Cette durée est quelque peu excessive. Il y a lieu de réduire le poste « Etude du dossier » de 2 heure et 55 minutes à 1 heure et 30 minutes, dès lors que la cause était déjà connue de l’avocat, et de retrancher le poste consacré à l’établissement d’un bordereau, d’une durée de 5 minutes, s’agissant de pur travail de secrétariat faisant partie des frais généraux de l’avocat. En définitive, c’est une indemnité de 600 fr., correspondant à 3 heures et 20 minutes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12 fr., et la TVA (7,7%), par 47 fr. 10, soit de 660 fr. au total en chiffres arrondis, qu’il convient d’allouer à Me Loïc Parein. Vu l’issue du recours, les frais de la procédure de recours, constitués de l’émolument d'arrêt, par 1'430 fr. (art. 20 al. 1 et 2 TFIP), et des frais imputables à la défense d'office (art. 422 al. 1 et 2 let. a CPP), par 660 fr., seront laissés à la charge de l’Etat (art. 423 al. 1 CPP). Par ces motifs, la Chambre des recours pénale prononce : I. Le recours est admis. II. L’ordonnance du 10 février 2022 est réformée comme il suit : I. rejette la requête de prolongation de la détention provisoire et ordonne la mise en liberté immédiate d’A.________, pour autant qu’il ne soit pas détenu pour une autre cause ;</w:t>
      </w:r>
    </w:p>
    <w:p>
      <w:r>
        <w:t>- 15 - II. laisse les frais de l’ordonnance, par 525 fr. (cinq cent vingt-cinq francs), à la charge de l’Etat. III. Il est alloué à Me Loïc Parein une indemnité de défenseur d’office de 660 fr. (six cent soixante francs). IV. Les frais d’arrêt, par 1'430 fr. (mille quatre cent trente francs), ainsi que l’indemnité due à Me Loïc Parein, par 660 fr. (six cent soixante francs), sont laissés à la charge de l’Etat. V. L’arrêt est exécutoire. La présidente : Le greffier : Du Le présent arrêt, dont la rédaction a été approuvée à huis clos, est notifié, par l'envoi d'une copie complète, à : - Me Loïc Parein, avocat (pour A.________), également par e-fax, - Ministère public central, également par e-fax, et communiqué à : - Mme la Présidente du Tribunal des mesures de contrainte, également par e-fax, - Mme la Procureure de l’arrondissement de Lausanne, également par e- fax, - Direction de la prison du Bois-Mermet, également par e-fax,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