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PE13.017519 vom 20. März 2014</w:t>
      </w:r>
    </w:p>
    <w:p>
      <w:r>
        <w:t>VD Tribunal cantonal, 2014-03-20, FR</w:t>
      </w:r>
    </w:p>
    <w:p>
      <w:r>
        <w:rPr>
          <w:b/>
        </w:rPr>
        <w:t xml:space="preserve">Quelle: </w:t>
      </w:r>
      <w:r>
        <w:t>https://mcp.opencaselaw.ch/entscheid/vd_gerichte_PE13.017519</w:t>
      </w:r>
    </w:p>
    <w:p>
      <w:r>
        <w:t>FR: VD_GERICHTE PE13.017519 du 20 mars 2014</w:t>
      </w:r>
    </w:p>
    <w:p>
      <w:r>
        <w:t>IT: VD_GERICHTE PE13.017519 del 20 marzo 2014</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- 5 - En l’espèce, il y a lieu d’entrer en matière sur le recours, qui a été interjeté en temps utile par le détenu devant l’autorité compétente et satisfait aux conditions de forme posées par l’art. 385 al. 1 CPP.</w:t>
      </w:r>
    </w:p>
    <w:p>
      <w:r>
        <w:rPr>
          <w:b/>
        </w:rPr>
        <w:t>E. 2</w:t>
      </w:r>
    </w:p>
    <w:p>
      <w:r>
        <w:t>a)Selon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w:t>
      </w:r>
    </w:p>
    <w:p>
      <w:r>
        <w:rPr>
          <w:b/>
        </w:rPr>
        <w:t>E. 3</w:t>
      </w:r>
    </w:p>
    <w:p>
      <w:r>
        <w:t>a)En l’espèce, le recourant ne conteste pas les soupçons initiaux retenus à son encontre. Bien plutôt, il a, en cours de procédure, réitéré ses aveux passés au début de l’enquête, admettant expressément s’être rendu en Suisse dans le dessein d’y acquérir deux à trois kg de cannabis, si toutefois celui-ci était de bonne qualité (cf. notamment ses déterminations du 2 décembre 2013, ch. 1). Il conteste en revanche toute plus ample implication dans le trafic de drogue international ici en cause. Cet argument apparaît infirmé par certains éléments recueillis en l’état de l’enquête. En effet, la mise sous écoute du premier comparse</w:t>
      </w:r>
    </w:p>
    <w:p>
      <w:r>
        <w:t>- 6 - présumé du recourant provient d’une indication donnée par les autorités kosovares. Ces dernières avaient, le 13 août 2013, découvert pas moins de 125 kg de marijuana dissimulés dans une cargaison à destination de la Suisse déposée dans les locaux d’une entreprise de transports internationaux et avaient discrètement retiré environ 100 kg de drogue des 55 marches d’escalier servant de cache, pour n’y laisser que quelque 20 kg. C’est cette quantité qui a été acheminée vers la Suisse à destination du comparse du recourant. Ce dernier était porteur de 10'000 euros en espèces lors de son interpellation (cf. en particulier le rapport de police du 6 septembre 2013 et la réquisition du Parquet du 7 septembre 2013). L’implication active du prévenu dans le trafic paraît ressortir, outre de l’importance de la somme en question, des premiers relevés d’écoutes, d’ores et déjà traduits, dont des extraits figurent dans le rapport d’investigation. Dans ces conditions, même si l’on ignore le rôle exact du prévenu dans ce trafic international, il n’en est pas moins établi que celui- ci porte, respectivement devait porter, sur une quantité notablement supérieure aux deux à trois kg que l’intéressé se proposait d’acquérir en Suisse, une telle quantité étant d’un prix largement inférieur à 10'000 euros. Dès lors, le moyen du recours selon lequel la traduction complète des actes recueillis en exécution de la commission rogatoire internationale au Kosovo ne serait pas susceptible d’apporter d’éléments nouveaux n’est pas déterminant. Peu importe également que les deux comparses présumés du recourant – entre-temps libérés – n’auraient pas, durant leurs auditions, fourni de nouvel élément de nature à l’incriminer. Peu importe enfin, toujours au regard de l’ampleur du complexe de faits ici en cause, que le casier judiciaire du prévenu soit vierge. Le recourant doit donc être tenu pour fortement soupçonné d’avoir commis un crime ou un délit au sens de l’art. 221 in initio CPP. b)Pour ce qui est du risque de fuite retenu par le premier juge, l’élément d’appréciation déterminant est que le prévenu, commerçant étranger résidant et exerçant son activité à l’étranger, n’a pas la moindre attache en Suisse. Il est donc sérieusement à craindre que, s’il venait à être libéré, il ne tente d’échapper aux poursuites pénales en prenant la clandestinité à l’étranger. Au regard du risque de fuite avéré à retenir, le</w:t>
      </w:r>
    </w:p>
    <w:p>
      <w:r>
        <w:t>- 7 - fait que les deux comparses présumés du recourant ont été libérés n’est pas déterminant. c)Les conditions légales étant alternatives, et non cumulatives, point n’est besoin d’examiner les autres motifs légaux de la détention provisoire (TF 1B_249/2011 du 7 juin 2011 c. 2.4). d)Pour le reste, le recourant se prévaut du principe de la proportionnalité. Cette exigence est cependant respectée eu égard au rapport entre la durée de la détention provisoire déjà subie, respectivement à subir jusqu’au 5 juin 2014, et la quotité de la peine privative de liberté dont le prévenu paraît passible, s’agissant d’une enquête ouverte pour un trafic international portant sur une importante quantité de stupéfiants. e)Au surplus, le terme prévu ne prête pas le flanc à la critique au vu de l’avancement de l’enquête. Il peut être relevé à cet égard que les traductions sont susceptibles de prendre un certain temps. Enfin, il apparaît qu’aucune mesure de substitution n'offre de garanties suffisantes en l’état. En effet, le risque de fuite mentionné ci-dessus apparaît particulièrement significatif et le prévenu était porteur de 10'000 euros en espèces lors de son interpellation. Dans ces conditions, il n’apparaît pas que le versement des sûretés de 15'000 fr. au maximum proposé par le recourant suffise à garantir que celui-ci déférera à la justice vaudoise dans le cadre de la présente cause (art. 238 CPP).</w:t>
      </w:r>
    </w:p>
    <w:p>
      <w:r>
        <w:rPr>
          <w:b/>
        </w:rPr>
        <w:t>E. 4</w:t>
      </w:r>
    </w:p>
    <w:p>
      <w:r>
        <w:t>Il résulte de ce qui précède que c’est à bon droit que le Tribunal des mesures de contrainte a ordonné la prolongation de la détention provisoire du prévenu dans la mesure prévue. Partant, le recours, manifestement mal fondé, doit être rejeté sans autre échange d’écritures (art. 390 al. 2 CPP) et l’ordonnance attaquée confirmée. Les frais de la procédure de recours, constitués en l’espèce de l'émolument d'arrêt (art. 422 al. 1 CPP), par 770 fr. (art. 20 al. 1 TFJP [tarif des frais judiciaires pénaux; RSV 312.03.1]), et des frais imputables à la</w:t>
      </w:r>
    </w:p>
    <w:p>
      <w:r>
        <w:t>- 8 -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4 mars 2014 est confirmée. III. L'indemnité allouée au défenseur d'office de R.________ est fixée à 583 fr. 20 (cinq cent huitante-trois francs et vingt centimes). IV. Les frais du présent arrêt, par 770 fr. (sept cent septante francs), ainsi que l’indemnité due au défenseur d’office du recourant selon le chiffre III ci-dessus, sont mis à la charge de R.________. V. Le remboursement à l'Etat de l'indemnité allouée au chiffre III ci-dessus sera exigible pour autant que la situation économique de R.________ se soit améliorée. VI. Le présent arrêt est exécutoire. Le président : Le greffier :</w:t>
      </w:r>
    </w:p>
    <w:p>
      <w:r>
        <w:t>- 9 - Du L'arrêt qui précède, dont la rédaction a été approuvée à huis clos, est notifié, par l'envoi d'une copie complète, à : - Me Ludovic Tirelli, avocat (pour R.________),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