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PE13.017072 vom 8. Oktober 2014</w:t>
      </w:r>
    </w:p>
    <w:p>
      <w:r>
        <w:t>VD Tribunal cantonal, 2014-10-08, FR</w:t>
      </w:r>
    </w:p>
    <w:p>
      <w:r>
        <w:rPr>
          <w:b/>
        </w:rPr>
        <w:t xml:space="preserve">Quelle: </w:t>
      </w:r>
      <w:r>
        <w:t>https://mcp.opencaselaw.ch/entscheid/vd_gerichte_PE13.017072</w:t>
      </w:r>
    </w:p>
    <w:p>
      <w:r>
        <w:t>FR: VD_GERICHTE PE13.017072 du 8 octobre 2014</w:t>
      </w:r>
    </w:p>
    <w:p>
      <w:r>
        <w:t>IT: VD_GERICHTE PE13.017072 del 8 ottobre 2014</w:t>
      </w:r>
    </w:p>
    <w:p>
      <w:pPr>
        <w:pStyle w:val="Heading2"/>
      </w:pPr>
      <w:r>
        <w:t>Erwägungen</w:t>
      </w:r>
    </w:p>
    <w:p>
      <w:r>
        <w:rPr>
          <w:b/>
        </w:rPr>
        <w:t>E. 4</w:t>
      </w:r>
    </w:p>
    <w:p>
      <w:r>
        <w:t>Sur le fond, les recourantes soutiennent que le procureur aurait classé la procédure pénale en violation du principe in dubio pro duriore. Elles estiment en substance que K.________ n’aurait pas pris les précautions nécessaires et aurait créé un risque pour C.E.________ en le laissant seul sur un banc à proximité immédiate des voies de chemin de fer.</w:t>
      </w:r>
    </w:p>
    <w:p>
      <w:r>
        <w:rPr>
          <w:b/>
        </w:rPr>
        <w:t>E. 4.1</w:t>
      </w:r>
    </w:p>
    <w:p>
      <w:r>
        <w:t>L'art. 117 CP (Code pénal suisse du 21 décembre 1937 ; RS 311.0) réprime le comportement de celui qui, par négligence, aura causé la mort d'une personne.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(Dupuis et al. [éd.], Petit commentaire, Code pénal, Bâle 2012, n. 14 ad art. 117 CP et références citées).</w:t>
      </w:r>
    </w:p>
    <w:p>
      <w:r>
        <w:t>- 10 -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(ATF 133 IV 158 ibid.; ATF 129 IV 119 c. 2.1). En fin de compte, la prudence à laquelle l’auteur est tenu se détermine en fonction des circonstances concrètes et de sa situation personnelle, étant donné que, de par la nature des choses, il est impossible que tout soit régi par des prescriptions (ATF 135 IV 56 c. 2.1, JT 2010 IV 43 et les références citées).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135 IV 56 ibid., JT 2010 IV 43 et références citées).</w:t>
      </w:r>
    </w:p>
    <w:p>
      <w:r>
        <w:t>- 11 - Il faut ensuite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(ATF 135 IV 56, ibid. et références citées).</w:t>
      </w:r>
    </w:p>
    <w:p>
      <w:r>
        <w:rPr>
          <w:b/>
        </w:rPr>
        <w:t>E. 4.2</w:t>
      </w:r>
    </w:p>
    <w:p>
      <w:r>
        <w:t>En l’état de l’instruction, le dossier comporte suffisamment d’indices pour considérer que le comportement de K.________ à l’égard de C.E.________ pourrait ne pas avoir été adéquat : alors qu’il était conscient que ce dernier n’était plus maître de sa personne, qu’il tenait à peine debout et avait même manqué à deux reprises de tomber en sa présence, il a pris la décision de l’asseoir sur un banc à proximité immédiate de deux voies ferrées. Au vu de la suite des événements, il convient de se demander si K.________ peut avoir eu une position de garant à l’égard de C.E.________ et s’il peut lui être reproché une négligence coupable. Premièrement, on peut se demander, comme l’ont relevé les recourantes, si, en tant que chef de train, il n’avait pas l’obligation légale ou réglementaire de veiller à la sécurité de ce passager du train dont il avait la responsabilité. Cette question ne peut cependant pas être tranchée en l’état, compte tenu des lacunes du dossier sur la réglementation et la pratique interne au sein des CFF. Ces derniers ont indiqué qu’il n’existait aucune directive interne portant sur l’évacuation d’un passager sous l’influence de l’alcool. On relèvera que l’intervention de la police a pourtant été requise en gare de [...] ensuite du premier incident survenu dans le train Intercity reliant Genève à Lucerne. L’instruction devra aussi être complétée sur ce point. Deuxièmement, on relèvera que, contrairement à ce qu’a retenu le procureur, il semble qu’il était prévisible que l’intéressé se mette en danger compte tenu de son état et de la proximité des voies. On ne saurait donc exclure au stade de la procédure préliminaire que le</w:t>
      </w:r>
    </w:p>
    <w:p>
      <w:r>
        <w:t>- 12 - comportement de K.________ puisse avoir provoqué ou accru un risque à l’égard de C.E.________. Son décès aurait vraisemblablement pu être évité s’il avait été remis à la police, au personnel de la gare ou tout au moins placé à distance des voies, dans le hall de la gare par exemple. K.________ n’était de surcroît pas pressé par le temps puisqu’il était sur le point de prendre sa pause et de se rendre au restaurant. Dans ce contexte particulier, la question de savoir si K.________ endossait ou non une position de garant et, le cas échéant, quel comportement on était en droit d’attendre de lui mérite d’être tranchée par un tribunal. Il appartiendra également à ce dernier de déterminer dans quelle mesure le comportement adopté par la victime sous l’influence de l’alcool est constitutif d’une éventuelle rupture du lien de causalité adéquate. Il résulte de ce qui précède qu’une condamnation apparaît envisageable, de sorte qu’une mise en accusation s’impose (ATF 138 IV 86 c. 4.1.1). C’est donc à tort que le Ministère public a rendu une ordonnance de classement. Il convient d’ordonner à ce dernier de procéder aux mesures d’instruction appropriées (cf. c. 3.3 et 4.2 supra), avant de dresser un acte d’accusation contre K.________, l’existence de soupçons suffisants contre d’autres personnes pouvant d’ores et déjà être exclue.</w:t>
      </w:r>
    </w:p>
    <w:p>
      <w:r>
        <w:rPr>
          <w:b/>
        </w:rPr>
        <w:t>E. 5</w:t>
      </w:r>
    </w:p>
    <w:p>
      <w:r>
        <w:t>En définitive, le recours formé par A.E.________ et B.E.________ doit être admis et l’ordonnance de classement du 4 août 2014 annulée, le dossier étant renvoyé au Ministère public pour qu’il procède dans le sens des considérants qui précèdent. Une indemnité de 1'080 fr., plus TVA, par 86 fr. 40, soit 1'166 fr. 40, sera allouée à Me Miriam Mazou en sa qualité de conseil juridique gratuit de A.E.________ et B.E.________. Les frais de la procédure de recours, constitués en l’espèce de l’émolument d’arrêt (art. 422 al. 1 CPP), par 1’210 fr. (art. 20 al. 2 TFIP [Tarif des frais de procédure et indemnités en matière pénale du 28 septembre 2010; RSV 312.03.1]), et de l’indemnité allouée au conseil</w:t>
      </w:r>
    </w:p>
    <w:p>
      <w:r>
        <w:t>- 13 - juridique gratuit de A.E.________ et B.E.________, par 1'166 fr. 40, seront laissés à la charge de l’Etat (art. 423 CPP). Par ces motifs, la Chambre des recours pénale prononce : I. Le recours est admis. II. l’ordonnance de classement du 4 août 2014 est annulée. III. Le dossier de la cause est renvoyé au Ministère public de l’arrondissement de l’Est vaudois pour qu’il procède dans le sens des considérants. IV. L’indemnité allouée au conseil juridique gratuit de A.E.________ et B.E.________ est fixée à 1'166 fr. 40 (mille cent soixante-six francs et quarante centimes), TVA comprise. V. Les frais d’arrêt, par 1’210 fr. (mille deux cent dix francs), ainsi que l’indemnité allouée au conseil juridique gratuit de A.E.________ et B.E.________, par 1'166 fr. 40 (mille cent soixante-six francs et quarante centimes), sont laissés à la charge de l’Etat. VI. Le présent arrêt est exécutoire. Le président : La greffière: Du L'arrêt qui précède, dont la rédaction a été approuvée à huis clos, est notifié, par l'envoi d'une copie complète, à : - Mme Miriam Mazou, avocate (pour A.E.________ et B.E.________), - Ministère public central,</w:t>
      </w:r>
    </w:p>
    <w:p>
      <w:r>
        <w:t>- 14 -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