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PE13.016717 vom 14. Oktober 2013</w:t>
      </w:r>
    </w:p>
    <w:p>
      <w:r>
        <w:t>VD Tribunal cantonal, 2013-10-14, FR</w:t>
      </w:r>
    </w:p>
    <w:p>
      <w:r>
        <w:rPr>
          <w:b/>
        </w:rPr>
        <w:t xml:space="preserve">Quelle: </w:t>
      </w:r>
      <w:r>
        <w:t>https://mcp.opencaselaw.ch/entscheid/vd_gerichte_PE13.016717</w:t>
      </w:r>
    </w:p>
    <w:p>
      <w:r>
        <w:t>FR: VD_GERICHTE PE13.016717 du 14 octobre 2013</w:t>
      </w:r>
    </w:p>
    <w:p>
      <w:r>
        <w:t>IT: VD_GERICHTE PE13.016717 del 14 ottobre 2013</w:t>
      </w:r>
    </w:p>
    <w:p>
      <w:pPr>
        <w:pStyle w:val="Heading2"/>
      </w:pPr>
      <w:r>
        <w:t>Erwägungen</w:t>
      </w:r>
    </w:p>
    <w:p>
      <w:r>
        <w:rPr>
          <w:b/>
        </w:rPr>
        <w:t>E. 1</w:t>
      </w:r>
    </w:p>
    <w:p>
      <w:r>
        <w:t>CPP), qui dans le canton de Vaud est la Chambre des recours pénale du Tribunal cantonal (art. 13 LVCPP [loi d’introduction du code de procédure pénale suisse; RSV 312.01]; art. 80 LOJV [loi d’organisation judiciaire; RSV 173.01]). En l’occurrence, interjeté en temps utile devant l’autorité compétente et satisfaisant aux conditions de forme (art. 385 al. 1 CPP), le recours est recevable.</w:t>
      </w:r>
    </w:p>
    <w:p>
      <w:r>
        <w:rPr>
          <w:b/>
        </w:rPr>
        <w:t>E. 2</w:t>
      </w:r>
    </w:p>
    <w:p>
      <w:r>
        <w:t>Le recourant estime que les conditions d’application des principales infractions retenues contre lui, à savoir la mise en danger de la vie d’autrui (art. 129 CP), les menaces alarmant la population (art. 258 CP) et la violence ou menace contre les autorités ou les fonctionnaires (art.</w:t>
      </w:r>
    </w:p>
    <w:p>
      <w:r>
        <w:t>- 5 - 285 CP), ne seraient pas réalisées. Par ailleurs, il soutient que le risque de réitération n’existerait plus.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1B_414/2011 du 5 septembre 2011 c. 3.1). Il n'appartient toutefois pas au juge de la détention de procéder à une pesée complète des éléments à charge et à décharge et d'apprécier la crédibilité des personnes qui mettent en cause le prévenu (ATF 137 IV 122 c. 3.2). b) En l’occurrence, il est relevé que le recourant ne remet pas en cause les faits tels que relatés dans le rapport de police du 13 août 2013 (cf. PV aud. TMC du 1er octobre 2013, ligne 19). S’agissant de la prévention de mise en danger de la vie d’autrui, la réalisation de ses conditions d’application n’est pas certaine. Toutefois, à ce stade et compte tenu de la gravité des faits reprochés au recourant, il n’incombe pas à la</w:t>
      </w:r>
    </w:p>
    <w:p>
      <w:r>
        <w:t>- 6 - cour de céans de trancher cette question. De surcroît, en ce qui concerne les infractions prévues aux art. 258 et 285 CP, au vu du déroulement des faits décrits ci-dessus (cf. supra lettre Aa), qui ne sont au demeurant pas contestés, elles ne sauraient à l’évidence être exclues à ce stade de la procédure. Au surplus, l’infraction à la Loi fédérale sur les armes paraît réalisée. Dans ces conditions, il existe des présomptions de culpabilité suffisantes à l’endroit du prévenu justifiant son maintien en détention provisoire. c) L’ordonnance entreprise se fonde sur un risque de réitération (art. 221 al. 1 let. c CPP). Selon la jurisprudence, il convient de faire preuve de retenue dans l'appréciation de ce risque : le maintien en détention ne peut se justifier en raison d’un risque de réitération que si le pronostic est très défavorable et si les délits dont l'autorité redoute la réitération sont graves (ATF 137 IV 84 c. 4.5, JT 2011 IV 325; ATF 135 I 71 c. 2.3; ATF 133 I 270 c.</w:t>
      </w:r>
    </w:p>
    <w:p>
      <w:r>
        <w:rPr>
          <w:b/>
        </w:rPr>
        <w:t>E. 2.2</w:t>
      </w:r>
    </w:p>
    <w:p>
      <w:r>
        <w:t>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réitération doit permettre de faire prévaloir l'intérêt à la sécurité publique sur la liberté personnelle du prévenu (ATF 137 IV 13 c. 4.5). d) En l’espèce, O.________ est prévenu notamment de mise en danger de la vie d’autrui, menaces alarmant la population et violence ou menace contre les autorités ou les fonctionnaires. Il doit ainsi répondre d’un crime et de délits qui doivent être qualifiés de graves. Ses</w:t>
      </w:r>
    </w:p>
    <w:p>
      <w:r>
        <w:t>- 7 - agissements ne sont pas anodins et les raisons qui l’ont poussé à agir de la sorte ne sont pas encore clairement établies. Par ailleurs, la situation difficile sur le plan financier, familial et médical dans laquelle il se trouvait avant les événements litigieux ne semble pas avoir évolué. Sa dangerosité n’a pas encore été évaluée et, selon toute vraisemblance, les conclusions des experts ne seront pas connues avant la fin de la période de détention provisoire, soit le 12 novembre 2013. Or, une expertise psychiatrique est indispensable pour pouvoir se déterminer sur cette question, respectivement sur le risque de réitération. Contrairement à ce que soutient le recourant, le fait que les médecins des HUG ont estimé que son placement en milieu psychiatrique ne se justifiait plus ne signifie pas encore que ce dernier ne présenterait plus de risque de récidive. Compte tenu de la gravité des faits reprochés et de l’ensemble des circonstances du cas d’espèce, il reste à craindre que le prévenu ne porte une nouvelle fois atteinte à la sécurité d’autrui par un acte désespéré. La sécurité publique doit dès lors l’emporter sur sa liberté personnelle. Par ailleurs, contrairement à ce que semble soutenir le recourant, le risque de réitération peut être retenu non seulement en présence de crimes, mais également, selon l’art. 221 al. 1 let. c CPP, de délits graves (cf. ATF 137 IV 84 c. 3.2, JT 2011 IV 325). C'est donc à bon droit que le Tribunal des mesures de contrainte a retenu que le risque de réitération demeurait concret. Aucune mesure de substitution n’est susceptible de pallier ce risque (art. 212 al. 2 let. c CPP).</w:t>
      </w:r>
    </w:p>
    <w:p>
      <w:r>
        <w:rPr>
          <w:b/>
        </w:rPr>
        <w:t>E. 3</w:t>
      </w:r>
    </w:p>
    <w:p>
      <w:r>
        <w:t>a) Selon l’art. 212 al. 3 CPP, la détention provisoire et la détention pour des motifs de sûreté ne doivent pas durer plus longtemps que la peine privative de liberté prévisible. La proportionnalité de la détention doit être examinée au regard de l'ensemble des circonstances concrètes du cas d'espèce (ATF 133 I 168 c. 4.1 et les arrêts cités). Le juge peut maintenir la détention</w:t>
      </w:r>
    </w:p>
    <w:p>
      <w:r>
        <w:t>- 8 - provisoire aussi longtemps qu'elle n'est pas très proche de la durée de la peine privative de liberté à laquelle il faut s'attendre concrètement en cas de condamnation (TF 1B_256/2010 du 26 août 2010 c. 3.1; ATF 133 I 168 c. 4.1; ATF 132 I 21 c. 4.1). b) En l'espèce, le recourant est détenu depuis le 12 août 2013, soit depuis environ deux mois. Compte tenu des charges qui pèsent sur lui, en cas de condamnation, il encourt une peine d’une durée supérieure à celle de la détention subie jusqu’à maintenant et cela, même si l’infraction de l’art. 129 CP, voire celle de l’art 258 CP, ne devaient finalement pas être retenues. Par conséquent, le principe de la proportionnalité est également respecté.</w:t>
      </w:r>
    </w:p>
    <w:p>
      <w:r>
        <w:rPr>
          <w:b/>
        </w:rPr>
        <w:t>E. 4</w:t>
      </w:r>
    </w:p>
    <w:p>
      <w:r>
        <w:t>Il résulte de ce qui précède que le recours, manifestement mal fondé, doit être rejeté, sans autre échange d’écritures (art. 390 al. 2 CPP), et l’ordonnance entreprise confirmée.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d’O.________ ne sera toutefois exigible que pour autant que la situation économique de ce dernier se soit améliorée (art. 135 al. 4 CPP).</w:t>
      </w:r>
    </w:p>
    <w:p>
      <w:r>
        <w:t>- 9 - Par ces motifs, la Chambre des recours pénale, statuant à huis clos, prononce : I. Le recours est rejeté. II. L'ordonnance du 1er octobre 2013 est confirmée. III. L'indemnité allouée au défenseur d'office du recourant est fixée à 583 fr. 20 (cinq cent huitante-trois francs et vingt centimes). IV. Les frais d’arrêt, par 880 fr. (huit cent huitante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Michel Dupuis, avocat (pour O.________), - Ministère public central,</w:t>
      </w:r>
    </w:p>
    <w:p>
      <w:r>
        <w:t>- 10 -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