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PE13.015848 vom 11. Oktober 2013</w:t>
      </w:r>
    </w:p>
    <w:p>
      <w:r>
        <w:t>VD Tribunal cantonal, 2013-10-11, FR</w:t>
      </w:r>
    </w:p>
    <w:p>
      <w:r>
        <w:rPr>
          <w:b/>
        </w:rPr>
        <w:t xml:space="preserve">Quelle: </w:t>
      </w:r>
      <w:r>
        <w:t>https://mcp.opencaselaw.ch/entscheid/vd_gerichte_PE13.015848</w:t>
      </w:r>
    </w:p>
    <w:p>
      <w:r>
        <w:t>FR: VD_GERICHTE PE13.015848 du 11 octobre 2013</w:t>
      </w:r>
    </w:p>
    <w:p>
      <w:r>
        <w:t>IT: VD_GERICHTE PE13.015848 del 11 ottobre 2013</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w:t>
      </w:r>
    </w:p>
    <w:p>
      <w:r>
        <w:t>- 4 -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il y a lieu d’entrer en matière sur le recours, qui a été interjeté en temps utile, devant l’autorité compétente, par une partie qui a qualité pour recourir (art. 382 al. 1 CPP) et dans les formes prescrites (art. 385 al. 1 CPP).</w:t>
      </w:r>
    </w:p>
    <w:p>
      <w:r>
        <w:rPr>
          <w:b/>
        </w:rPr>
        <w:t>E. 2</w:t>
      </w:r>
    </w:p>
    <w:p>
      <w:r>
        <w:t>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Selon l’art. 85 CPP, les autorités pénales notifient leurs prononcés par lettre signature ou par tout autre mode de communication impliquant un accusé réception, notamment par l’entremise de la police (al. 2). Le prononcé est réputé notifié lorsqu’il a été remis au destinataire, à l’un de ses employés ou à toute personne de plus de seize ans vivant dans le même ménage (al. 3, 1re phrase). Le prononcé est également réputé notifié lorsque, expédié par lettre signature, il n’a pas été retiré dans les sept jours à compter de la tentative infructueuse de remise du pli, si la personne concernée devait s’attendre à une telle remise (al. 4 let. a).</w:t>
      </w:r>
    </w:p>
    <w:p>
      <w:r>
        <w:t>- 5 - Selon la jurisprudence, le destinataire doit s'attendre à la remise d'un pli dès l'ouverture de la procédure. C'est un devoir procédural qui vaut pour toute la durée de la procédure et qui impose aux parties de se comporter conformément aux règles de la bonne foi (Macaluso/Toffel, in: Kuhn/Jeanneret (éd.), op. cit., n. 33 ad art. 85 CPP; TF 6B_70/2011 du 1er juillet 2011 c. 2.2.3; ATF 130 III 396 c. 1.2.3). Un seul interrogatoire de police ne suffit en général pas pour devoir s'attendre à une notification (SJ 2001 I 449; Macaluso/Toffel, op. cit., n. 33 ad art. 85 CPP). En effet, selon la jurisprudence, le rapport procédural qui entraîne une obligation pour le justiciable de prendre les mesures pour s'assurer qu'il pourra prendre connaissance des notifications éventuelles des autorités ne naît pas d'un simple interrogatoire par la police (SJ 2001 I 449 c. II. 2; ATF 116 Ia 90 c. 2c). Il faut en principe que la personne entendue par la police se voie clairement indiquer qu'une action pénale est ouverte contre elle (ibidem). En vertu de l'art. 158 al. 1 let. a CPP, au début de la première audition, la police ou le Ministère public informent le prévenu dans une langue qu'il comprend qu'une procédure préliminaire (cf. art. 300 al. 1 CPP) est ouverte contre lui et pour quelles infractions. L'information doit être donnée aussi lors d'auditions menées par la police de manière autonome, mais seulement lors d'interrogatoires faisant l'objet d'un procès-verbal, donc notamment pas sur les scènes d'accident ou de crime, lorsque la police cherche simplement à se faire une idée de la situation et des responsabilités des divers intervenants (Verniory, in : Kuhn/Jeanneret (éd.), op. cit., n. 7 ad art. 158 CPP; Message du Conseil fédéral relatif à l’unification du droit de la procédure pénale du 21 décembre 2005, FF 2006 II 1057 ss, spéc. 1172). b) En l’espèce, il ressort de la formule de dénonciation transmise par l’Hôtel W.________ à la Commission de police que le recourant n’a pas été informé d’une dénonciation pour les faits du 9 juin 2013 (P. 5/1). En revanche, s’agissant des faits du 15 juin 2013, il apparaît que le recourant aurait « été informé de la dénonciation » (P. 5/3). Toutefois, aucun élément au dossier ne permet de corroborer cette</w:t>
      </w:r>
    </w:p>
    <w:p>
      <w:r>
        <w:t>- 6 - affirmation, dont la preuve incombe à l’autorité pénale. Par conséquent, c’est à tort que le premier juge a retenu que le recourant savait qu’il faisait l’objet d’une procédure pénale et qu’il devait en conséquence prendre connaissance des communications officielles. Au vu des éléments qui précèdent, faute d’avis précédent informant le prévenu de l’ouverture d’une procédure pénale dirigée à son encontre, l’opposition formée le 18 juillet 2013 doit être considérée comme déposée en temps utile.</w:t>
      </w:r>
    </w:p>
    <w:p>
      <w:r>
        <w:rPr>
          <w:b/>
        </w:rPr>
        <w:t>E. 3</w:t>
      </w:r>
    </w:p>
    <w:p>
      <w:r>
        <w:t>Il résulte de ce qui précède que le recours, fondé, doit être admis. Le prononcé rendu le 13 août 2013 doit être réformé en ce sens que l’opposition formée par G.________ contre les ordonnances pénales rendues par la Commission de police de l’Association Sécurité Riviera le 20 juin 2013 est recevable. Le dossier de la cause sera dès lors renvoyé à la Commission de police pour qu’elle procède conformément à l’art. 355 CPP. Les frais de la procédure de recours, constitués en l’espèce de l’émolument d’arrêt par 660 fr. (art. 20 al. 1 TFJP [tarif des frais judiciaires pénaux; RSV 312.03.1]), seront laissés à la charge de l’Etat (art. 423 al. 1 CPP). Par ces motifs, la Chambre des recours pénale, statuant à huis clos, prononce : I. Le recours est admis. II. Le prononcé rendu le 13 août 2013 par le Tribunal d’arrondissement de l’Est vaudois est réformé en ce sens que l’opposition formée par G.________ contre les ordonnances pénales rendues par la Commission de police de l’Association Sécurité Riviera le 20 juin 2013 est recevable.</w:t>
      </w:r>
    </w:p>
    <w:p>
      <w:r>
        <w:t>- 7 - III. Le dossier de la cause est renvoyé à la Commission de police de l’Association Sécurité Riviera pour qu’elle procède conformément à l’art. 355 CPP. IV. Les frais du présent arrêt, par 660 fr. (six cent soixante francs), sont laissés à la charge de l’Etat. V. Le présent arrêt est exécutoire. Le président : La greffière : Du L'arrêt qui précède, dont la rédaction a été approuvée à huis clos, est notifié, par l'envoi d'une copie complète, à : - M. G.________, - Ministère public central, et communiqué à : - Mme la Présidente du Tribunal d’arrondissement de l’Est vaudois, - Commission de police de l’Association Sécurité Riviera,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