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PE13.015710 vom 29. Juni 2015</w:t>
      </w:r>
    </w:p>
    <w:p>
      <w:r>
        <w:t>VD Tribunal cantonal, 2015-06-29, FR</w:t>
      </w:r>
    </w:p>
    <w:p>
      <w:r>
        <w:rPr>
          <w:b/>
        </w:rPr>
        <w:t xml:space="preserve">Quelle: </w:t>
      </w:r>
      <w:r>
        <w:t>https://mcp.opencaselaw.ch/entscheid/vd_gerichte_PE13.015710</w:t>
      </w:r>
    </w:p>
    <w:p>
      <w:r>
        <w:t>FR: VD_GERICHTE PE13.015710 du 29 juin 2015</w:t>
      </w:r>
    </w:p>
    <w:p>
      <w:r>
        <w:t>IT: VD_GERICHTE PE13.015710 del 29 giugno 2015</w:t>
      </w:r>
    </w:p>
    <w:p>
      <w:pPr>
        <w:pStyle w:val="Heading2"/>
      </w:pPr>
      <w:r>
        <w:t>Erwägungen</w:t>
      </w:r>
    </w:p>
    <w:p>
      <w:r>
        <w:rPr>
          <w:b/>
        </w:rPr>
        <w:t>E. 4</w:t>
      </w:r>
    </w:p>
    <w:p>
      <w:r>
        <w:t>B.X.________ soutient que C.X.________ s'est rendue coupable de calomnie, subsidiairement de diffamation s'agissant des propos qui allèguent que D.X.________ aurait été exclu de l'école par sa faute. Il soutient que le courriel litigieux laisserait entendre qu'il combattrait juridiquement pour empêcher son fils d'avoir accès à une éducation et qu'il préférerait financer ses relations adultères que payer l'écolage de son fils. Il fait enfin valoir que ce n'est pas son refus d'assumer l'écolage qui a abouti à l'exclusion de son fils de l'école. C'est à juste titre que le premier juge a considéré que le destinataire du courriel litigieux devait forcément comprendre qu'il</w:t>
      </w:r>
    </w:p>
    <w:p>
      <w:r>
        <w:t>- 16 - s'agissait d'un litige matrimonial et que de simples critiques relatives à la qualité de père n'étaient pas attentatoires à l'honneur. En effet, la lecture de ce courriel permet de comprendre qu'il s'agit d'un litige entre parents, qu'il y a un procès en cours puisqu'on y parle d'avocat, et qu'il est question d'écolage en établissement privé. On ne peut raisonnablement comprendre les phrases incriminées comme voulant dire que le père tenterait d'empêcher son fils d'aller à l'école. Il y a lieu de relever que le caractère attentatoire à l'honneur résulte principalement des propos laissant entendre que B.X.________ préférerait consacrer son argent à ses besoins plutôt qu'à sa famille et non des phrases relatives à la scolarité qui n'ont pas de portée propre. L'appel joint doit être rejeté.</w:t>
      </w:r>
    </w:p>
    <w:p>
      <w:r>
        <w:rPr>
          <w:b/>
        </w:rPr>
        <w:t>E. 5</w:t>
      </w:r>
    </w:p>
    <w:p>
      <w:r>
        <w:t>En définitive, l'appel principal est admis et le jugement entrepris réformé dans le sens des considérants qui précèdent. L'appel joint est rejeté. Au vu du sort de la cause, les frais de procédure de première instance ainsi que l'indemnité de défenseur d'office allouée Me Cornelia Seeger Tappy seront mis à la charge de B.X.________. En effet, ce dernier a déposé une plainte pénale qui n'était pas conforme à la vérité puisqu'il n'admettait qu'une seule relation extraconjugale (art. 427 al. 2 let. a CPP). Il en va de même des frais de la procédure d'appel, par 4'538 fr. 80, comprenant, outre l'émolument de 1'800 fr. (art. 21 al. 1 et 2 TFIP [Tarif des frais de procédure et indemnités en matière pénale du 28 septembre 2010; RSV 312.03.1]), l'indemnité de défenseur d'office allouée à Me Cornelia Seeger Tappy, par 2'738 fr. 80, TVA et débours inclus. S'agissant des dépens requis par l'appelante pour les deux instances, ils doivent lui être refusés, celle-ci étant assistée d'un défenseur d'office. En outre, les conclusions civiles, en dépens, prises par B.X.________ dans sa déclaration d'appel n'ont plus d'objet au vu de l'issue de la cause.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