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PE13.015519 vom 5. September 2014</w:t>
      </w:r>
    </w:p>
    <w:p>
      <w:r>
        <w:t>VD Tribunal cantonal, 2014-09-05, FR</w:t>
      </w:r>
    </w:p>
    <w:p>
      <w:r>
        <w:rPr>
          <w:b/>
        </w:rPr>
        <w:t xml:space="preserve">Quelle: </w:t>
      </w:r>
      <w:r>
        <w:t>https://mcp.opencaselaw.ch/entscheid/vd_gerichte_PE13.015519</w:t>
      </w:r>
    </w:p>
    <w:p>
      <w:r>
        <w:t>FR: VD_GERICHTE PE13.015519 du 5 septembre 2014</w:t>
      </w:r>
    </w:p>
    <w:p>
      <w:r>
        <w:t>IT: VD_GERICHTE PE13.015519 del 5 settembre 2014</w:t>
      </w:r>
    </w:p>
    <w:p>
      <w:pPr>
        <w:pStyle w:val="Heading2"/>
      </w:pPr>
      <w:r>
        <w:t>Erwägungen</w:t>
      </w:r>
    </w:p>
    <w:p>
      <w:r>
        <w:rPr>
          <w:b/>
        </w:rPr>
        <w:t>E. 3</w:t>
      </w:r>
    </w:p>
    <w:p>
      <w:r>
        <w:t>supra) et qu'il ait versé à la plaignante les sommes de 400 et 600 fr. en faveur de l'enfant (p. 4 supra) ne changent rien à ce constat. Quant à la thérapie que le prévenu prétend avoir suivie auprès d'un médecin psychiatre du [...] pendant trois mois à partir de juin 2014 (p. 3 supra), sans toutefois apporter la moindre preuve à l'appui de ses allégations, on peut sérieusement douter de son efficacité, dès lors qu'à l'audience de première instance, soit après trois mois de traitement, l'appelant a dit, en parlant au présent : "pour moi il est tout à fait normal que j'aie injurié la plaignante puisqu'elle me prive de ma fille", ce qui laisse songeur. Au vu de ce qui précède, c'est à juste titre que le premier juge a refusé d'accorder le sursis. Mal fondé, le moyen tiré d’une violation de l’art. 42 CP doit donc être rejeté.</w:t>
      </w:r>
    </w:p>
    <w:p>
      <w:r>
        <w:t>- 17 - Au surplus, on soulignera que l’exécution d’une peine privative de liberté de 6 mois peut se faire sous le régime de la semi-détention (art. 77b CP), si les conditions en sont remplies, de sorte que l’exécution de la peine ne portera pas notablement atteinte à l’avenir de l’appelant.</w:t>
      </w:r>
    </w:p>
    <w:p>
      <w:r>
        <w:rPr>
          <w:b/>
        </w:rPr>
        <w:t>E. 3.1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w:t>
      </w:r>
    </w:p>
    <w:p>
      <w:r>
        <w:t>- 15 -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 2.1 ; ATF 134 IV 1 c. 4.2.2 ; TF 6B_348/2014 du 19 juin 2014 c. 2).</w:t>
      </w:r>
    </w:p>
    <w:p>
      <w:r>
        <w:rPr>
          <w:b/>
        </w:rPr>
        <w:t>E. 3.2</w:t>
      </w:r>
    </w:p>
    <w:p>
      <w:r>
        <w:t>En l’espèce, le caractère ferme de la peine n’est pas critiquable, étant précisé que le pronostic à formuler pour le sursis dans le présent cas n’est pas celui de l’art. 42 al. 2 CP, mais bien celui de l’alinéa 1 de cette disposition dès lors qu’aucune peine antérieure n’atteint le minimum requis par cette disposition – soit de six mois, respectivement de cent huitante jours –, même si la totalité des peines prononcées excède cette durée (cf. Dupuis et al., Petit commentaire du Code pénal, Bâle 2012, n.19 ad art. 42 CP). A l'époque des faits, S.________ avait déjà subi trois condamnations à des peines pécuniaires, dont deux pour des infractions analogues, la première en janvier 2010, pour notamment lésions corporelles simples, dommages à la propriété, injure, utilisation abusive d’une installation de télécommunication et menaces, et la seconde en septembre 2012, pour notamment voies de fait, injure, menaces, dommages à la propriété et violation de domicile. Il avait, à ces deux occasions, subi respectivement 4 et 10 jours de détention préventive, ce qui ne l'a pas dissuadé pour autant, puisqu'il a récidivé dans le même domaine d'infractions. Il sied de relever à cet égard que le prénommé a commencé à s’en prendre à sa nouvelle compagne à peine trois mois après l'échéance du sursis de 2 ans accordé en 2010, alors qu'il faisait</w:t>
      </w:r>
    </w:p>
    <w:p>
      <w:r>
        <w:t>- 16 - déjà l'objet d'une instruction pénale ouverte sur plainte de sa précédente petite amie pour voies de fait, injure et menaces notamment (pièce 27), et qu'il a poursuivi ses agissements délictueux pendant plus de 2 ans. En outre, il a récidivé en cours d'enquête et alors même qu'il était d'ores et déjà renvoyé devant le Tribunal de police. Par ailleurs, malgré les deux ordonnances rendue par le Président du Tribunal civil les 28 mai et 25 novembre 2014 (pièce 45) lui interdisant de contacter et de s’approcher de la plaignante, sous la menace de la peine prévue par l’art. 292 CP, le prévenu a, selon les explications – non contestées – de la plaignante aux débats d'appel, continué d'envoyer à cette dernière "des sms, mais d'amour, (…) comme [s'ils] ne s'étai[en]t jamais quitt[és] et qu'il ne s'était rien passé" (p. 4 supra). A cela s’ajoute que l’appelant n’a pas manifesté une véritable prise de conscience de ses fautes, puisqu’il n'a cessé de se poser en victime (PV aud. 2 ; jugt, p. 3), allant même jusqu'à refuser de s'excuser (jugt, p. 7); les excuses qu'il a formulées en toute fin d'audience (jugt, p. 9) ont paru superficielles au tribunal (jugt, p. 23); elles sont d'autant moins convaincantes que l'intéressé ne les a pas réitérées aux débats d'appel, en présence de l’intimée. Au vu de ces éléments, le pronostic est défavorable. Le fait que l'appelant ait reconnu T.________ (p.</w:t>
      </w:r>
    </w:p>
    <w:p>
      <w:r>
        <w:rPr>
          <w:b/>
        </w:rPr>
        <w:t>E. 3.3</w:t>
      </w:r>
    </w:p>
    <w:p>
      <w:r>
        <w:t>Enfin, dans la mesure où c'est une peine privative de liberté de</w:t>
      </w:r>
    </w:p>
    <w:p>
      <w:r>
        <w:rPr>
          <w:b/>
        </w:rPr>
        <w:t>E. 6</w:t>
      </w:r>
    </w:p>
    <w:p>
      <w:r>
        <w:t>(six) mois. III. Condamne S.________ à une amende de 1'000 fr. (mille francs) et dit qu’en cas de non paiement fautif de l’amende, la peine privative de liberté de substitution sera de 10 (dix) jours. IV. Renonce à révoquer le sursis accordé à S.________ par le Juge d’instruction de Lausanne le 2 juin 2010. V. Dit que S.________ est le débiteur de Z.________ et lui doit immédiat paiement d’un montant de 4'000 fr. (quatre mille francs), valeur échue, à titre d’indemnité pour tort moral. VI. Renvoie pour le surplus Z.________ à agir devant le juge civil. VII. Ordonne le maintien au dossier à titre de pièce à conviction d’un CD séquestré sous fiche de pièce à conviction no 57140. VIII. Met les frais de la cause, par 2'956 fr. à la charge de S.________.</w:t>
      </w:r>
    </w:p>
    <w:p>
      <w:r>
        <w:t>- 19 - IX. Fixe à 5'951 fr. 40, TVA comprise, le montant de l’indemnité allouée à Me Joëlle Zimmermann, conseil d’office de la partie plaignante Z.________, et laisse ce montant à la charge de l’Etat. X. Dit que lorsque sa situation financière le permettra, S.________ sera tenu de rembourser à l’Etat le montant de l’indemnité allouée au chiffre IX ci-dessus. III. Une indemnité de défenseur d'office pour la procédure d'appel d'un montant de 1'490 fr. 40, TVA et débours compris, est allouée à Me Jean-Pierre Bloch. IV. Une indemnité de conseil d'office pour la procédure d'appel d'un montant de 500 fr., TVA et débours compris, est allouée à Me Joëlle Zimmermann, à la charge de l’Etat. V. Les frais de la procédure d'appel, par 3'100 fr. 40, y compris l'indemnité allouée à son défenseur d'office sous chiffre III ci- dessus, sont mis à la charge de S.________. VI. S.________ ne sera tenu de rembourser à l'Etat le montant de l'indemnité allouée à son défenseur d’office sous chiffre III ci- dessus que lorsque sa situation financière le permettra. Le président : Le greffier :</w:t>
      </w:r>
    </w:p>
    <w:p>
      <w:r>
        <w:t>- 20 - Du 7 janvier 2015 Le dispositif du jugement qui précède est communiqué à l’appelant et aux autres intéressés. Le greffier : Du Le jugement qui précède, dont la rédaction a été approuvée à huis clos, est notifié, par l'envoi d'une copie complète, à : - Me Jean-Pierre Bloch, avocat (pour S.________), - Me Joëlle Zimmermann, avocate (pour Z.________), - Ministère public central, et communiqué à : - Mme la Présidente du Tribunal de police de l'arrondissement de Lausanne, - M. le Procureur de l’arrondissement de Lausanne, - Office d’exécution des peines, - Service de la population, secteur étrangers (09.06.1987), par l'envoi de photocopies.</w:t>
      </w:r>
    </w:p>
    <w:p>
      <w:r>
        <w:t>- 21 -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