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PE13.015059 vom 11. April 2014</w:t>
      </w:r>
    </w:p>
    <w:p>
      <w:r>
        <w:t>VD Tribunal cantonal, 2014-04-11, FR</w:t>
      </w:r>
    </w:p>
    <w:p>
      <w:r>
        <w:rPr>
          <w:b/>
        </w:rPr>
        <w:t xml:space="preserve">Quelle: </w:t>
      </w:r>
      <w:r>
        <w:t>https://mcp.opencaselaw.ch/entscheid/vd_gerichte_PE13.015059</w:t>
      </w:r>
    </w:p>
    <w:p>
      <w:r>
        <w:t>FR: VD_GERICHTE PE13.015059 du 11 avril 2014</w:t>
      </w:r>
    </w:p>
    <w:p>
      <w:r>
        <w:t>IT: VD_GERICHTE PE13.015059 del 11 aprile 2014</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w:t>
      </w:r>
    </w:p>
    <w:p>
      <w:r>
        <w:rPr>
          <w:b/>
        </w:rPr>
        <w:t>E. 2</w:t>
      </w:r>
    </w:p>
    <w:p>
      <w:r>
        <w:t>a) 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w:t>
      </w:r>
    </w:p>
    <w:p>
      <w:r>
        <w:t>- 4 - conditions mentionnées à l’art. 8 CPP imposent de renoncer à l’ouverture d’une poursuite pénale (TF 1B_111/2012 du 5 avril 2012 c. 2.1; TF 1B_67/2012 du 29 mai 2012 c. 2.2). b) En l’espèce, à l’appui de son recours, E.X.________ a expliqué les raisons pour lesquelles elle n’avait pas donné suite au courrier du procureur du 3 décembre 2013. Elle a en effet indiqué avoir pris contact avec la police à plusieurs reprises s’agissant de la liste de témoins qu’elle devait lui transmettre, mais n’avoir pas pu joindre l’enquêteur qui traitait son cas, lequel était soit absent, soit malade. Elle a ajouté avoir été absente pendant une semaine. Ces motifs apparaissent pertinents pour retenir que la recourante ne se désintéresse pas du sort de sa plainte et qu’elle n’empêche pas toute instruction. En outre, la recourante a proposé l’audition, en qualité de témoins, de ses enfants, tous majeurs. Au vu des faits dénoncés, à savoir notamment des actes de violence conjugale, l’audition de ces derniers apparaît opportune. On peut du reste considérer que la nécessité de ces auditions était manifeste depuis le 22 octobre 2013, date à laquelle la recourante avait été entendue par la police. Par conséquent, c’est à tort que le Ministère public a refusé d’entrer en matière sur la plainte d’E.X.________, en considérant qu’il existait des empêchements de procéder. Il conviendra donc d’instruire les faits plus avant.</w:t>
      </w:r>
    </w:p>
    <w:p>
      <w:r>
        <w:rPr>
          <w:b/>
        </w:rPr>
        <w:t>E. 3</w:t>
      </w:r>
    </w:p>
    <w:p>
      <w:r>
        <w:t>Il résulte de ce qui précède que le recours doit être admis, l’ordonnance de non-entrée en matière du 29 janvier 2014 annulée et la cause renvoyée au Ministère public pour qu’il procède dans le sens des considérants. Les frais d'arrêt, par 550 fr. (art. 20 al. 1 TFJP [tarif des frais judiciaires pénaux du 28 septembre 2010; RSV 312.03.1]), seront laissés à la charge de l'Etat (art. 423 al. 1 CPP).</w:t>
      </w:r>
    </w:p>
    <w:p>
      <w:r>
        <w:t>- 5 - Par ces motifs, la Chambre des recours pénale, statuant à huis clos, prononce : I. Le recours est admis. II. L’ordonnance du 29 janvier 2014 est annulée et la cause renvoyée au Ministère public de l’arrondissement de Lausanne pour qu’il procède dans le sens des considérants. III. Les frais d’arrêt, par 550 fr. (cinq cent cinquante francs), sont laissés à la charge de l’Etat. IV. Le présent arrêt est exécutoire. Le président : La greffière : Du L'arrêt qui précède, dont la rédaction a été approuvée à huis clos, est notifié, par l'envoi d'une copie complète, à : - Mme E.X.________, - Ministère public central; et communiqué à : - M. le Procureur de l’arrondissement de Lausanne,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